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CEE58B4">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66A5D880">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5E2FE68B">
      <w:pPr>
        <w:keepNext/>
        <w:keepLines/>
        <w:spacing w:before="260" w:after="260" w:line="416" w:lineRule="atLeast"/>
        <w:jc w:val="center"/>
        <w:outlineLvl w:val="1"/>
        <w:rPr>
          <w:rFonts w:hint="eastAsia" w:ascii="Times New Roman" w:hAnsi="Times New Roman" w:eastAsia="宋体"/>
          <w:b/>
          <w:bCs/>
          <w:sz w:val="28"/>
          <w:szCs w:val="28"/>
          <w:lang w:eastAsia="zh-CN"/>
        </w:rPr>
      </w:pPr>
      <w:r>
        <w:rPr>
          <w:rFonts w:hint="eastAsia" w:ascii="Times New Roman" w:hAnsi="Times New Roman" w:eastAsia="宋体"/>
          <w:b/>
          <w:bCs/>
          <w:sz w:val="28"/>
          <w:szCs w:val="28"/>
          <w:lang w:eastAsia="zh-CN"/>
        </w:rPr>
        <w:drawing>
          <wp:inline distT="0" distB="0" distL="114300" distR="114300">
            <wp:extent cx="7068820" cy="661035"/>
            <wp:effectExtent l="0" t="0" r="0" b="0"/>
            <wp:docPr id="5" name="图片 5"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十四五国规标"/>
                    <pic:cNvPicPr>
                      <a:picLocks noChangeAspect="1"/>
                    </pic:cNvPicPr>
                  </pic:nvPicPr>
                  <pic:blipFill>
                    <a:blip r:embed="rId6"/>
                    <a:srcRect t="46761" b="46627"/>
                    <a:stretch>
                      <a:fillRect/>
                    </a:stretch>
                  </pic:blipFill>
                  <pic:spPr>
                    <a:xfrm>
                      <a:off x="0" y="0"/>
                      <a:ext cx="7068820" cy="661035"/>
                    </a:xfrm>
                    <a:prstGeom prst="rect">
                      <a:avLst/>
                    </a:prstGeom>
                  </pic:spPr>
                </pic:pic>
              </a:graphicData>
            </a:graphic>
          </wp:inline>
        </w:drawing>
      </w:r>
    </w:p>
    <w:p w14:paraId="21545871">
      <w:pPr>
        <w:keepNext/>
        <w:keepLines/>
        <w:spacing w:before="260" w:after="260" w:line="240" w:lineRule="auto"/>
        <w:jc w:val="both"/>
        <w:outlineLvl w:val="1"/>
        <w:rPr>
          <w:rFonts w:hint="eastAsia" w:ascii="Times New Roman" w:hAnsi="Times New Roman"/>
          <w:b/>
          <w:bCs/>
          <w:sz w:val="30"/>
          <w:szCs w:val="30"/>
          <w:lang w:val="en-US" w:eastAsia="zh-CN"/>
        </w:rPr>
      </w:pPr>
    </w:p>
    <w:p w14:paraId="26881B23">
      <w:pPr>
        <w:keepNext/>
        <w:keepLines/>
        <w:spacing w:before="260" w:after="260" w:line="240" w:lineRule="auto"/>
        <w:jc w:val="both"/>
        <w:outlineLvl w:val="1"/>
        <w:rPr>
          <w:rFonts w:hint="eastAsia" w:ascii="Times New Roman" w:hAnsi="Times New Roman"/>
          <w:b/>
          <w:bCs/>
          <w:sz w:val="30"/>
          <w:szCs w:val="30"/>
          <w:lang w:val="en-US" w:eastAsia="zh-CN"/>
        </w:rPr>
      </w:pPr>
    </w:p>
    <w:p w14:paraId="5E81C5F3">
      <w:pPr>
        <w:keepNext/>
        <w:keepLines/>
        <w:spacing w:before="260" w:after="260" w:line="240" w:lineRule="auto"/>
        <w:jc w:val="center"/>
        <w:outlineLvl w:val="1"/>
        <w:rPr>
          <w:rFonts w:hint="eastAsia" w:ascii="Times New Roman" w:hAnsi="Times New Roman"/>
          <w:b/>
          <w:bCs/>
          <w:sz w:val="52"/>
          <w:szCs w:val="52"/>
        </w:rPr>
      </w:pPr>
      <w:r>
        <w:rPr>
          <w:rFonts w:hint="eastAsia" w:ascii="汉仪菱心体简" w:hAnsi="汉仪菱心体简" w:eastAsia="汉仪菱心体简" w:cs="汉仪菱心体简"/>
          <w:i w:val="0"/>
          <w:caps w:val="0"/>
          <w:color w:val="6787B2"/>
          <w:spacing w:val="0"/>
          <w:sz w:val="84"/>
          <w:szCs w:val="84"/>
          <w:shd w:val="clear" w:fill="FFFFFF"/>
          <w:lang w:val="en-US" w:eastAsia="zh-CN"/>
        </w:rPr>
        <w:t>教案</w:t>
      </w:r>
    </w:p>
    <w:p w14:paraId="104A0AD8">
      <w:pPr>
        <w:keepNext/>
        <w:keepLines/>
        <w:spacing w:before="260" w:after="260" w:line="240" w:lineRule="auto"/>
        <w:jc w:val="center"/>
        <w:outlineLvl w:val="1"/>
        <w:rPr>
          <w:rFonts w:hint="eastAsia" w:ascii="思源宋体 CN Heavy" w:hAnsi="思源宋体 CN Heavy" w:eastAsia="思源宋体 CN Heavy" w:cs="思源宋体 CN Heavy"/>
          <w:b/>
          <w:bCs/>
          <w:color w:val="6787B2"/>
          <w:sz w:val="112"/>
          <w:szCs w:val="112"/>
          <w:lang w:val="en-US" w:eastAsia="zh-CN"/>
        </w:rPr>
      </w:pPr>
      <w:r>
        <w:rPr>
          <w:rFonts w:hint="eastAsia" w:ascii="思源宋体 CN Heavy" w:hAnsi="思源宋体 CN Heavy" w:eastAsia="思源宋体 CN Heavy" w:cs="思源宋体 CN Heavy"/>
          <w:b/>
          <w:bCs/>
          <w:color w:val="6787B2"/>
          <w:sz w:val="112"/>
          <w:szCs w:val="112"/>
          <w:lang w:val="en-US" w:eastAsia="zh-CN"/>
        </w:rPr>
        <w:t>生理学</w:t>
      </w:r>
    </w:p>
    <w:p w14:paraId="1DE0F138">
      <w:pPr>
        <w:keepNext/>
        <w:keepLines/>
        <w:spacing w:before="260" w:after="260" w:line="240" w:lineRule="auto"/>
        <w:jc w:val="center"/>
        <w:outlineLvl w:val="1"/>
        <w:rPr>
          <w:rFonts w:hint="default" w:ascii="Times New Roman" w:hAnsi="Times New Roman" w:eastAsia="宋体"/>
          <w:b/>
          <w:bCs/>
          <w:color w:val="2E75B6" w:themeColor="accent1" w:themeShade="BF"/>
          <w:sz w:val="52"/>
          <w:szCs w:val="52"/>
          <w:lang w:val="en-US" w:eastAsia="zh-CN"/>
        </w:rPr>
      </w:pPr>
      <w:r>
        <w:rPr>
          <w:rFonts w:hint="eastAsia" w:ascii="Times New Roman" w:hAnsi="Times New Roman"/>
          <w:b/>
          <w:bCs/>
          <w:color w:val="2E75B6" w:themeColor="accent1" w:themeShade="BF"/>
          <w:sz w:val="52"/>
          <w:szCs w:val="52"/>
          <w:lang w:eastAsia="zh-CN"/>
        </w:rPr>
        <w:t>（</w:t>
      </w:r>
      <w:r>
        <w:rPr>
          <w:rFonts w:hint="eastAsia" w:ascii="Times New Roman" w:hAnsi="Times New Roman"/>
          <w:b/>
          <w:bCs/>
          <w:color w:val="2E75B6" w:themeColor="accent1" w:themeShade="BF"/>
          <w:sz w:val="52"/>
          <w:szCs w:val="52"/>
          <w:lang w:val="en-US" w:eastAsia="zh-CN"/>
        </w:rPr>
        <w:t>第二版）</w:t>
      </w:r>
    </w:p>
    <w:p w14:paraId="7F875E9A">
      <w:pPr>
        <w:keepNext/>
        <w:keepLines/>
        <w:spacing w:before="260" w:after="260" w:line="240" w:lineRule="auto"/>
        <w:jc w:val="center"/>
        <w:outlineLvl w:val="1"/>
        <w:rPr>
          <w:rFonts w:hint="eastAsia" w:ascii="Times New Roman" w:hAnsi="Times New Roman"/>
          <w:b/>
          <w:bCs/>
          <w:sz w:val="28"/>
          <w:szCs w:val="28"/>
        </w:rPr>
      </w:pPr>
    </w:p>
    <w:p w14:paraId="25768923">
      <w:pPr>
        <w:keepNext/>
        <w:keepLines/>
        <w:spacing w:before="260" w:after="260" w:line="240" w:lineRule="auto"/>
        <w:jc w:val="center"/>
        <w:outlineLvl w:val="1"/>
        <w:rPr>
          <w:rFonts w:hint="eastAsia" w:ascii="Times New Roman" w:hAnsi="Times New Roman"/>
          <w:b/>
          <w:bCs/>
          <w:sz w:val="28"/>
          <w:szCs w:val="28"/>
        </w:rPr>
      </w:pPr>
    </w:p>
    <w:p w14:paraId="00F1166D">
      <w:pPr>
        <w:keepNext/>
        <w:keepLines/>
        <w:spacing w:before="260" w:after="260" w:line="240" w:lineRule="auto"/>
        <w:jc w:val="both"/>
        <w:outlineLvl w:val="1"/>
        <w:rPr>
          <w:rFonts w:hint="eastAsia" w:ascii="Times New Roman" w:hAnsi="Times New Roman"/>
          <w:b/>
          <w:bCs/>
          <w:sz w:val="28"/>
          <w:szCs w:val="28"/>
        </w:rPr>
      </w:pPr>
    </w:p>
    <w:p w14:paraId="3D194E08">
      <w:pPr>
        <w:keepNext/>
        <w:keepLines/>
        <w:spacing w:before="260" w:after="260" w:line="240" w:lineRule="auto"/>
        <w:jc w:val="both"/>
        <w:outlineLvl w:val="1"/>
        <w:rPr>
          <w:rFonts w:hint="eastAsia" w:ascii="Times New Roman" w:hAnsi="Times New Roman"/>
          <w:b/>
          <w:bCs/>
          <w:sz w:val="28"/>
          <w:szCs w:val="28"/>
        </w:rPr>
      </w:pPr>
    </w:p>
    <w:p w14:paraId="17BE5798">
      <w:pPr>
        <w:keepNext/>
        <w:keepLines/>
        <w:spacing w:before="260" w:after="260" w:line="240" w:lineRule="auto"/>
        <w:jc w:val="center"/>
        <w:outlineLvl w:val="1"/>
        <w:rPr>
          <w:rFonts w:hint="eastAsia" w:ascii="Times New Roman" w:hAnsi="Times New Roman"/>
          <w:b/>
          <w:bCs/>
          <w:sz w:val="28"/>
          <w:szCs w:val="28"/>
        </w:rPr>
      </w:pPr>
      <w:r>
        <w:rPr>
          <w:rFonts w:hint="eastAsia" w:ascii="Times New Roman" w:hAnsi="Times New Roman"/>
          <w:b/>
          <w:bCs/>
          <w:color w:val="8FAADC" w:themeColor="accent5" w:themeTint="99"/>
          <w:sz w:val="28"/>
          <w:szCs w:val="28"/>
          <w:lang w:val="en-US" w:eastAsia="zh-CN"/>
          <w14:textFill>
            <w14:solidFill>
              <w14:schemeClr w14:val="accent5">
                <w14:lumMod w14:val="60000"/>
                <w14:lumOff w14:val="40000"/>
              </w14:schemeClr>
            </w14:solidFill>
          </w14:textFill>
        </w:rPr>
        <w:t>北京出版社</w:t>
      </w:r>
    </w:p>
    <w:p w14:paraId="4CE1FFFF">
      <w:pPr>
        <w:keepNext/>
        <w:keepLines/>
        <w:spacing w:before="260" w:after="260" w:line="240" w:lineRule="auto"/>
        <w:jc w:val="both"/>
        <w:outlineLvl w:val="1"/>
        <w:rPr>
          <w:rFonts w:hint="eastAsia" w:ascii="Times New Roman" w:hAnsi="Times New Roman"/>
          <w:b/>
          <w:bCs/>
          <w:sz w:val="28"/>
          <w:szCs w:val="28"/>
        </w:rPr>
        <w:sectPr>
          <w:headerReference r:id="rId4" w:type="first"/>
          <w:headerReference r:id="rId3" w:type="default"/>
          <w:pgSz w:w="11906" w:h="16838"/>
          <w:pgMar w:top="0" w:right="170" w:bottom="0" w:left="170" w:header="567" w:footer="850" w:gutter="0"/>
          <w:pgBorders>
            <w:top w:val="none" w:sz="0" w:space="0"/>
            <w:left w:val="none" w:sz="0" w:space="0"/>
            <w:bottom w:val="none" w:sz="0" w:space="0"/>
            <w:right w:val="none" w:sz="0" w:space="0"/>
          </w:pgBorders>
          <w:cols w:space="425" w:num="1"/>
          <w:titlePg/>
          <w:docGrid w:type="lines" w:linePitch="312" w:charSpace="0"/>
        </w:sectPr>
      </w:pPr>
    </w:p>
    <w:p w14:paraId="45BEE8F2">
      <w:pPr>
        <w:pStyle w:val="3"/>
        <w:bidi w:val="0"/>
        <w:jc w:val="center"/>
        <w:rPr>
          <w:rFonts w:hint="eastAsia"/>
          <w:sz w:val="52"/>
          <w:szCs w:val="52"/>
          <w:lang w:eastAsia="zh-CN"/>
        </w:rPr>
      </w:pPr>
      <w:r>
        <w:rPr>
          <w:rFonts w:hint="eastAsia"/>
          <w:sz w:val="52"/>
          <w:szCs w:val="52"/>
          <w:lang w:eastAsia="zh-CN"/>
        </w:rPr>
        <w:t>课时分配表</w:t>
      </w:r>
    </w:p>
    <w:tbl>
      <w:tblPr>
        <w:tblStyle w:val="11"/>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Layout w:type="autofit"/>
        <w:tblCellMar>
          <w:top w:w="0" w:type="dxa"/>
          <w:left w:w="108" w:type="dxa"/>
          <w:bottom w:w="0" w:type="dxa"/>
          <w:right w:w="108" w:type="dxa"/>
        </w:tblCellMar>
      </w:tblPr>
      <w:tblGrid>
        <w:gridCol w:w="1176"/>
        <w:gridCol w:w="5269"/>
        <w:gridCol w:w="1735"/>
        <w:gridCol w:w="2025"/>
      </w:tblGrid>
      <w:tr w14:paraId="6C27105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00B0F0"/>
            <w:vAlign w:val="center"/>
          </w:tcPr>
          <w:p w14:paraId="5D6F964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章序</w:t>
            </w:r>
          </w:p>
        </w:tc>
        <w:tc>
          <w:tcPr>
            <w:tcW w:w="4166" w:type="dxa"/>
            <w:tcBorders>
              <w:tl2br w:val="nil"/>
              <w:tr2bl w:val="nil"/>
            </w:tcBorders>
            <w:shd w:val="clear" w:color="auto" w:fill="00B0F0"/>
            <w:vAlign w:val="center"/>
          </w:tcPr>
          <w:p w14:paraId="084A186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课程内容</w:t>
            </w:r>
          </w:p>
        </w:tc>
        <w:tc>
          <w:tcPr>
            <w:tcW w:w="1372" w:type="dxa"/>
            <w:tcBorders>
              <w:tl2br w:val="nil"/>
              <w:tr2bl w:val="nil"/>
            </w:tcBorders>
            <w:shd w:val="clear" w:color="auto" w:fill="00B0F0"/>
            <w:vAlign w:val="center"/>
          </w:tcPr>
          <w:p w14:paraId="30821CD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课时</w:t>
            </w:r>
          </w:p>
        </w:tc>
        <w:tc>
          <w:tcPr>
            <w:tcW w:w="1600" w:type="dxa"/>
            <w:tcBorders>
              <w:tl2br w:val="nil"/>
              <w:tr2bl w:val="nil"/>
            </w:tcBorders>
            <w:shd w:val="clear" w:color="auto" w:fill="00B0F0"/>
            <w:vAlign w:val="center"/>
          </w:tcPr>
          <w:p w14:paraId="2426A59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4"/>
                <w:szCs w:val="24"/>
                <w:vertAlign w:val="baseline"/>
                <w:lang w:eastAsia="zh-CN"/>
              </w:rPr>
            </w:pPr>
            <w:r>
              <w:rPr>
                <w:rFonts w:hint="eastAsia" w:ascii="宋体" w:hAnsi="宋体" w:cs="宋体"/>
                <w:b/>
                <w:bCs/>
                <w:color w:val="FFFFFF"/>
                <w:sz w:val="24"/>
                <w:szCs w:val="24"/>
                <w:vertAlign w:val="baseline"/>
                <w:lang w:eastAsia="zh-CN"/>
              </w:rPr>
              <w:t>备注</w:t>
            </w:r>
          </w:p>
        </w:tc>
      </w:tr>
      <w:tr w14:paraId="3774EF2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3C96192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w:t>
            </w:r>
          </w:p>
        </w:tc>
        <w:tc>
          <w:tcPr>
            <w:tcW w:w="4166" w:type="dxa"/>
            <w:tcBorders>
              <w:tl2br w:val="nil"/>
              <w:tr2bl w:val="nil"/>
            </w:tcBorders>
            <w:shd w:val="clear" w:color="auto" w:fill="FFFFFF"/>
            <w:vAlign w:val="center"/>
          </w:tcPr>
          <w:p w14:paraId="6190761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cs="宋体"/>
                <w:b/>
                <w:bCs/>
                <w:color w:val="000000" w:themeColor="text1"/>
                <w:sz w:val="24"/>
                <w:szCs w:val="24"/>
                <w:vertAlign w:val="baseline"/>
                <w:lang w:eastAsia="zh-CN"/>
                <w14:textFill>
                  <w14:solidFill>
                    <w14:schemeClr w14:val="tx1"/>
                  </w14:solidFill>
                </w14:textFill>
              </w:rPr>
              <w:t>绪论</w:t>
            </w:r>
          </w:p>
        </w:tc>
        <w:tc>
          <w:tcPr>
            <w:tcW w:w="1372" w:type="dxa"/>
            <w:tcBorders>
              <w:tl2br w:val="nil"/>
              <w:tr2bl w:val="nil"/>
            </w:tcBorders>
            <w:shd w:val="clear" w:color="auto" w:fill="FFFFFF"/>
            <w:vAlign w:val="center"/>
          </w:tcPr>
          <w:p w14:paraId="33912B2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5</w:t>
            </w:r>
          </w:p>
        </w:tc>
        <w:tc>
          <w:tcPr>
            <w:tcW w:w="1600" w:type="dxa"/>
            <w:tcBorders>
              <w:tl2br w:val="nil"/>
              <w:tr2bl w:val="nil"/>
            </w:tcBorders>
            <w:shd w:val="clear" w:color="auto" w:fill="FFFFFF"/>
            <w:vAlign w:val="center"/>
          </w:tcPr>
          <w:p w14:paraId="4FB2AC9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5C21D6F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3F23B94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2</w:t>
            </w:r>
          </w:p>
        </w:tc>
        <w:tc>
          <w:tcPr>
            <w:tcW w:w="4166" w:type="dxa"/>
            <w:tcBorders>
              <w:tl2br w:val="nil"/>
              <w:tr2bl w:val="nil"/>
            </w:tcBorders>
            <w:shd w:val="clear" w:color="auto" w:fill="FFFFFF"/>
            <w:vAlign w:val="center"/>
          </w:tcPr>
          <w:p w14:paraId="2AF306B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细胞的基本功能</w:t>
            </w:r>
          </w:p>
        </w:tc>
        <w:tc>
          <w:tcPr>
            <w:tcW w:w="1372" w:type="dxa"/>
            <w:tcBorders>
              <w:tl2br w:val="nil"/>
              <w:tr2bl w:val="nil"/>
            </w:tcBorders>
            <w:shd w:val="clear" w:color="auto" w:fill="FFFFFF"/>
            <w:vAlign w:val="center"/>
          </w:tcPr>
          <w:p w14:paraId="1C56612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5</w:t>
            </w:r>
          </w:p>
        </w:tc>
        <w:tc>
          <w:tcPr>
            <w:tcW w:w="1600" w:type="dxa"/>
            <w:tcBorders>
              <w:tl2br w:val="nil"/>
              <w:tr2bl w:val="nil"/>
            </w:tcBorders>
            <w:shd w:val="clear" w:color="auto" w:fill="FFFFFF"/>
            <w:vAlign w:val="center"/>
          </w:tcPr>
          <w:p w14:paraId="05F7031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0A19A17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44B6C67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w:t>
            </w:r>
          </w:p>
        </w:tc>
        <w:tc>
          <w:tcPr>
            <w:tcW w:w="4166" w:type="dxa"/>
            <w:tcBorders>
              <w:tl2br w:val="nil"/>
              <w:tr2bl w:val="nil"/>
            </w:tcBorders>
            <w:shd w:val="clear" w:color="auto" w:fill="FFFFFF"/>
            <w:vAlign w:val="center"/>
          </w:tcPr>
          <w:p w14:paraId="05A1C78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血液</w:t>
            </w:r>
          </w:p>
        </w:tc>
        <w:tc>
          <w:tcPr>
            <w:tcW w:w="1372" w:type="dxa"/>
            <w:tcBorders>
              <w:tl2br w:val="nil"/>
              <w:tr2bl w:val="nil"/>
            </w:tcBorders>
            <w:shd w:val="clear" w:color="auto" w:fill="FFFFFF"/>
            <w:vAlign w:val="center"/>
          </w:tcPr>
          <w:p w14:paraId="73DCFE2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w:t>
            </w:r>
          </w:p>
        </w:tc>
        <w:tc>
          <w:tcPr>
            <w:tcW w:w="1600" w:type="dxa"/>
            <w:tcBorders>
              <w:tl2br w:val="nil"/>
              <w:tr2bl w:val="nil"/>
            </w:tcBorders>
            <w:shd w:val="clear" w:color="auto" w:fill="FFFFFF"/>
            <w:vAlign w:val="center"/>
          </w:tcPr>
          <w:p w14:paraId="62F9E71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006C143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FE6686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4166" w:type="dxa"/>
            <w:tcBorders>
              <w:tl2br w:val="nil"/>
              <w:tr2bl w:val="nil"/>
            </w:tcBorders>
            <w:shd w:val="clear" w:color="auto" w:fill="FFFFFF"/>
            <w:vAlign w:val="center"/>
          </w:tcPr>
          <w:p w14:paraId="1FAC05E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血液循环</w:t>
            </w:r>
          </w:p>
        </w:tc>
        <w:tc>
          <w:tcPr>
            <w:tcW w:w="1372" w:type="dxa"/>
            <w:tcBorders>
              <w:tl2br w:val="nil"/>
              <w:tr2bl w:val="nil"/>
            </w:tcBorders>
            <w:shd w:val="clear" w:color="auto" w:fill="FFFFFF"/>
            <w:vAlign w:val="center"/>
          </w:tcPr>
          <w:p w14:paraId="5E2D23A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5</w:t>
            </w:r>
          </w:p>
        </w:tc>
        <w:tc>
          <w:tcPr>
            <w:tcW w:w="1600" w:type="dxa"/>
            <w:tcBorders>
              <w:tl2br w:val="nil"/>
              <w:tr2bl w:val="nil"/>
            </w:tcBorders>
            <w:shd w:val="clear" w:color="auto" w:fill="FFFFFF"/>
            <w:vAlign w:val="center"/>
          </w:tcPr>
          <w:p w14:paraId="7A9B57C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7CFA4DF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F7B181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5</w:t>
            </w:r>
          </w:p>
        </w:tc>
        <w:tc>
          <w:tcPr>
            <w:tcW w:w="4166" w:type="dxa"/>
            <w:tcBorders>
              <w:tl2br w:val="nil"/>
              <w:tr2bl w:val="nil"/>
            </w:tcBorders>
            <w:shd w:val="clear" w:color="auto" w:fill="FFFFFF"/>
            <w:vAlign w:val="center"/>
          </w:tcPr>
          <w:p w14:paraId="656D68D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呼吸</w:t>
            </w:r>
          </w:p>
        </w:tc>
        <w:tc>
          <w:tcPr>
            <w:tcW w:w="1372" w:type="dxa"/>
            <w:tcBorders>
              <w:tl2br w:val="nil"/>
              <w:tr2bl w:val="nil"/>
            </w:tcBorders>
            <w:shd w:val="clear" w:color="auto" w:fill="FFFFFF"/>
            <w:vAlign w:val="center"/>
          </w:tcPr>
          <w:p w14:paraId="5DF7C35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5</w:t>
            </w:r>
          </w:p>
        </w:tc>
        <w:tc>
          <w:tcPr>
            <w:tcW w:w="1600" w:type="dxa"/>
            <w:tcBorders>
              <w:tl2br w:val="nil"/>
              <w:tr2bl w:val="nil"/>
            </w:tcBorders>
            <w:shd w:val="clear" w:color="auto" w:fill="FFFFFF"/>
            <w:vAlign w:val="center"/>
          </w:tcPr>
          <w:p w14:paraId="2D2FABF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4D9C783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741BB54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w:t>
            </w:r>
          </w:p>
        </w:tc>
        <w:tc>
          <w:tcPr>
            <w:tcW w:w="4166" w:type="dxa"/>
            <w:tcBorders>
              <w:tl2br w:val="nil"/>
              <w:tr2bl w:val="nil"/>
            </w:tcBorders>
            <w:shd w:val="clear" w:color="auto" w:fill="FFFFFF"/>
            <w:vAlign w:val="center"/>
          </w:tcPr>
          <w:p w14:paraId="4A3E611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消化与吸收</w:t>
            </w:r>
          </w:p>
        </w:tc>
        <w:tc>
          <w:tcPr>
            <w:tcW w:w="1372" w:type="dxa"/>
            <w:tcBorders>
              <w:tl2br w:val="nil"/>
              <w:tr2bl w:val="nil"/>
            </w:tcBorders>
            <w:shd w:val="clear" w:color="auto" w:fill="FFFFFF"/>
            <w:vAlign w:val="center"/>
          </w:tcPr>
          <w:p w14:paraId="2661FBF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w:t>
            </w:r>
          </w:p>
        </w:tc>
        <w:tc>
          <w:tcPr>
            <w:tcW w:w="1600" w:type="dxa"/>
            <w:tcBorders>
              <w:tl2br w:val="nil"/>
              <w:tr2bl w:val="nil"/>
            </w:tcBorders>
            <w:shd w:val="clear" w:color="auto" w:fill="FFFFFF"/>
            <w:vAlign w:val="center"/>
          </w:tcPr>
          <w:p w14:paraId="1C402AC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3F793DE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72147E6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7</w:t>
            </w:r>
          </w:p>
        </w:tc>
        <w:tc>
          <w:tcPr>
            <w:tcW w:w="4166" w:type="dxa"/>
            <w:tcBorders>
              <w:tl2br w:val="nil"/>
              <w:tr2bl w:val="nil"/>
            </w:tcBorders>
            <w:shd w:val="clear" w:color="auto" w:fill="FFFFFF"/>
            <w:vAlign w:val="center"/>
          </w:tcPr>
          <w:p w14:paraId="0EDF22F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能量代谢与体温</w:t>
            </w:r>
          </w:p>
        </w:tc>
        <w:tc>
          <w:tcPr>
            <w:tcW w:w="1372" w:type="dxa"/>
            <w:tcBorders>
              <w:tl2br w:val="nil"/>
              <w:tr2bl w:val="nil"/>
            </w:tcBorders>
            <w:shd w:val="clear" w:color="auto" w:fill="FFFFFF"/>
            <w:vAlign w:val="center"/>
          </w:tcPr>
          <w:p w14:paraId="08701B7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3</w:t>
            </w:r>
          </w:p>
        </w:tc>
        <w:tc>
          <w:tcPr>
            <w:tcW w:w="1600" w:type="dxa"/>
            <w:tcBorders>
              <w:tl2br w:val="nil"/>
              <w:tr2bl w:val="nil"/>
            </w:tcBorders>
            <w:shd w:val="clear" w:color="auto" w:fill="FFFFFF"/>
            <w:vAlign w:val="center"/>
          </w:tcPr>
          <w:p w14:paraId="3B4BBCC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5CB1B81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59E23FD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8</w:t>
            </w:r>
          </w:p>
        </w:tc>
        <w:tc>
          <w:tcPr>
            <w:tcW w:w="4166" w:type="dxa"/>
            <w:tcBorders>
              <w:tl2br w:val="nil"/>
              <w:tr2bl w:val="nil"/>
            </w:tcBorders>
            <w:shd w:val="clear" w:color="auto" w:fill="FFFFFF"/>
            <w:vAlign w:val="center"/>
          </w:tcPr>
          <w:p w14:paraId="5D5322A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尿的生成与排出</w:t>
            </w:r>
          </w:p>
        </w:tc>
        <w:tc>
          <w:tcPr>
            <w:tcW w:w="1372" w:type="dxa"/>
            <w:tcBorders>
              <w:tl2br w:val="nil"/>
              <w:tr2bl w:val="nil"/>
            </w:tcBorders>
            <w:shd w:val="clear" w:color="auto" w:fill="FFFFFF"/>
            <w:vAlign w:val="center"/>
          </w:tcPr>
          <w:p w14:paraId="4562A27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w:t>
            </w:r>
          </w:p>
        </w:tc>
        <w:tc>
          <w:tcPr>
            <w:tcW w:w="1600" w:type="dxa"/>
            <w:tcBorders>
              <w:tl2br w:val="nil"/>
              <w:tr2bl w:val="nil"/>
            </w:tcBorders>
            <w:shd w:val="clear" w:color="auto" w:fill="FFFFFF"/>
            <w:vAlign w:val="center"/>
          </w:tcPr>
          <w:p w14:paraId="244C323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2EA15DB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7938F9C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9</w:t>
            </w:r>
          </w:p>
        </w:tc>
        <w:tc>
          <w:tcPr>
            <w:tcW w:w="4166" w:type="dxa"/>
            <w:tcBorders>
              <w:tl2br w:val="nil"/>
              <w:tr2bl w:val="nil"/>
            </w:tcBorders>
            <w:shd w:val="clear" w:color="auto" w:fill="FFFFFF"/>
            <w:vAlign w:val="center"/>
          </w:tcPr>
          <w:p w14:paraId="26B5C1F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感觉器官的功能</w:t>
            </w:r>
          </w:p>
        </w:tc>
        <w:tc>
          <w:tcPr>
            <w:tcW w:w="1372" w:type="dxa"/>
            <w:tcBorders>
              <w:tl2br w:val="nil"/>
              <w:tr2bl w:val="nil"/>
            </w:tcBorders>
            <w:shd w:val="clear" w:color="auto" w:fill="FFFFFF"/>
            <w:vAlign w:val="center"/>
          </w:tcPr>
          <w:p w14:paraId="4F05393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5</w:t>
            </w:r>
          </w:p>
        </w:tc>
        <w:tc>
          <w:tcPr>
            <w:tcW w:w="1600" w:type="dxa"/>
            <w:tcBorders>
              <w:tl2br w:val="nil"/>
              <w:tr2bl w:val="nil"/>
            </w:tcBorders>
            <w:shd w:val="clear" w:color="auto" w:fill="FFFFFF"/>
            <w:vAlign w:val="center"/>
          </w:tcPr>
          <w:p w14:paraId="5787E72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1F95AE2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EEC2E6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10</w:t>
            </w:r>
          </w:p>
        </w:tc>
        <w:tc>
          <w:tcPr>
            <w:tcW w:w="4166" w:type="dxa"/>
            <w:tcBorders>
              <w:tl2br w:val="nil"/>
              <w:tr2bl w:val="nil"/>
            </w:tcBorders>
            <w:shd w:val="clear" w:color="auto" w:fill="FFFFFF"/>
            <w:vAlign w:val="center"/>
          </w:tcPr>
          <w:p w14:paraId="7561987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神经系统的功能</w:t>
            </w:r>
          </w:p>
        </w:tc>
        <w:tc>
          <w:tcPr>
            <w:tcW w:w="1372" w:type="dxa"/>
            <w:tcBorders>
              <w:tl2br w:val="nil"/>
              <w:tr2bl w:val="nil"/>
            </w:tcBorders>
            <w:shd w:val="clear" w:color="auto" w:fill="FFFFFF"/>
            <w:vAlign w:val="center"/>
          </w:tcPr>
          <w:p w14:paraId="7174809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7</w:t>
            </w:r>
          </w:p>
        </w:tc>
        <w:tc>
          <w:tcPr>
            <w:tcW w:w="1600" w:type="dxa"/>
            <w:tcBorders>
              <w:tl2br w:val="nil"/>
              <w:tr2bl w:val="nil"/>
            </w:tcBorders>
            <w:shd w:val="clear" w:color="auto" w:fill="FFFFFF"/>
            <w:vAlign w:val="center"/>
          </w:tcPr>
          <w:p w14:paraId="7F99408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074929D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6A43B0E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11</w:t>
            </w:r>
          </w:p>
        </w:tc>
        <w:tc>
          <w:tcPr>
            <w:tcW w:w="4166" w:type="dxa"/>
            <w:tcBorders>
              <w:tl2br w:val="nil"/>
              <w:tr2bl w:val="nil"/>
            </w:tcBorders>
            <w:shd w:val="clear" w:color="auto" w:fill="FFFFFF"/>
            <w:vAlign w:val="center"/>
          </w:tcPr>
          <w:p w14:paraId="67FC7A3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内分泌</w:t>
            </w:r>
          </w:p>
        </w:tc>
        <w:tc>
          <w:tcPr>
            <w:tcW w:w="1372" w:type="dxa"/>
            <w:tcBorders>
              <w:tl2br w:val="nil"/>
              <w:tr2bl w:val="nil"/>
            </w:tcBorders>
            <w:shd w:val="clear" w:color="auto" w:fill="FFFFFF"/>
            <w:vAlign w:val="center"/>
          </w:tcPr>
          <w:p w14:paraId="6A2FD8C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7</w:t>
            </w:r>
          </w:p>
        </w:tc>
        <w:tc>
          <w:tcPr>
            <w:tcW w:w="1600" w:type="dxa"/>
            <w:tcBorders>
              <w:tl2br w:val="nil"/>
              <w:tr2bl w:val="nil"/>
            </w:tcBorders>
            <w:shd w:val="clear" w:color="auto" w:fill="FFFFFF"/>
            <w:vAlign w:val="center"/>
          </w:tcPr>
          <w:p w14:paraId="47494D9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334A4A3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04569C1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12</w:t>
            </w:r>
          </w:p>
        </w:tc>
        <w:tc>
          <w:tcPr>
            <w:tcW w:w="4166" w:type="dxa"/>
            <w:tcBorders>
              <w:tl2br w:val="nil"/>
              <w:tr2bl w:val="nil"/>
            </w:tcBorders>
            <w:shd w:val="clear" w:color="auto" w:fill="FFFFFF"/>
            <w:vAlign w:val="center"/>
          </w:tcPr>
          <w:p w14:paraId="3C8C0B2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r>
              <w:rPr>
                <w:rFonts w:hint="eastAsia" w:ascii="宋体" w:hAnsi="宋体" w:eastAsia="宋体" w:cs="宋体"/>
                <w:b/>
                <w:bCs/>
                <w:color w:val="000000" w:themeColor="text1"/>
                <w:sz w:val="24"/>
                <w:szCs w:val="24"/>
                <w:vertAlign w:val="baseline"/>
                <w:lang w:eastAsia="zh-CN"/>
                <w14:textFill>
                  <w14:solidFill>
                    <w14:schemeClr w14:val="tx1"/>
                  </w14:solidFill>
                </w14:textFill>
              </w:rPr>
              <w:t>生殖</w:t>
            </w:r>
          </w:p>
        </w:tc>
        <w:tc>
          <w:tcPr>
            <w:tcW w:w="1372" w:type="dxa"/>
            <w:tcBorders>
              <w:tl2br w:val="nil"/>
              <w:tr2bl w:val="nil"/>
            </w:tcBorders>
            <w:shd w:val="clear" w:color="auto" w:fill="FFFFFF"/>
            <w:vAlign w:val="center"/>
          </w:tcPr>
          <w:p w14:paraId="66DB207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4</w:t>
            </w:r>
          </w:p>
        </w:tc>
        <w:tc>
          <w:tcPr>
            <w:tcW w:w="1600" w:type="dxa"/>
            <w:tcBorders>
              <w:tl2br w:val="nil"/>
              <w:tr2bl w:val="nil"/>
            </w:tcBorders>
            <w:shd w:val="clear" w:color="auto" w:fill="FFFFFF"/>
            <w:vAlign w:val="center"/>
          </w:tcPr>
          <w:p w14:paraId="7CE63FE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r w14:paraId="5334FFA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930" w:type="dxa"/>
            <w:tcBorders>
              <w:tl2br w:val="nil"/>
              <w:tr2bl w:val="nil"/>
            </w:tcBorders>
            <w:shd w:val="clear" w:color="auto" w:fill="FFFFFF"/>
            <w:vAlign w:val="center"/>
          </w:tcPr>
          <w:p w14:paraId="5472504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总计</w:t>
            </w:r>
          </w:p>
        </w:tc>
        <w:tc>
          <w:tcPr>
            <w:tcW w:w="4166" w:type="dxa"/>
            <w:tcBorders>
              <w:tl2br w:val="nil"/>
              <w:tr2bl w:val="nil"/>
            </w:tcBorders>
            <w:shd w:val="clear" w:color="auto" w:fill="FFFFFF"/>
            <w:vAlign w:val="center"/>
          </w:tcPr>
          <w:p w14:paraId="25DEA65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c>
          <w:tcPr>
            <w:tcW w:w="1372" w:type="dxa"/>
            <w:tcBorders>
              <w:tl2br w:val="nil"/>
              <w:tr2bl w:val="nil"/>
            </w:tcBorders>
            <w:shd w:val="clear" w:color="auto" w:fill="FFFFFF"/>
            <w:vAlign w:val="center"/>
          </w:tcPr>
          <w:p w14:paraId="7CFE93A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color w:val="000000" w:themeColor="text1"/>
                <w:sz w:val="24"/>
                <w:szCs w:val="24"/>
                <w:vertAlign w:val="baseline"/>
                <w:lang w:val="en-US" w:eastAsia="zh-CN"/>
                <w14:textFill>
                  <w14:solidFill>
                    <w14:schemeClr w14:val="tx1"/>
                  </w14:solidFill>
                </w14:textFill>
              </w:rPr>
            </w:pPr>
            <w:r>
              <w:rPr>
                <w:rFonts w:hint="eastAsia" w:ascii="宋体" w:hAnsi="宋体" w:cs="宋体"/>
                <w:b/>
                <w:bCs/>
                <w:color w:val="000000" w:themeColor="text1"/>
                <w:sz w:val="24"/>
                <w:szCs w:val="24"/>
                <w:vertAlign w:val="baseline"/>
                <w:lang w:val="en-US" w:eastAsia="zh-CN"/>
                <w14:textFill>
                  <w14:solidFill>
                    <w14:schemeClr w14:val="tx1"/>
                  </w14:solidFill>
                </w14:textFill>
              </w:rPr>
              <w:t>64</w:t>
            </w:r>
          </w:p>
        </w:tc>
        <w:tc>
          <w:tcPr>
            <w:tcW w:w="1600" w:type="dxa"/>
            <w:tcBorders>
              <w:tl2br w:val="nil"/>
              <w:tr2bl w:val="nil"/>
            </w:tcBorders>
            <w:shd w:val="clear" w:color="auto" w:fill="FFFFFF"/>
            <w:vAlign w:val="center"/>
          </w:tcPr>
          <w:p w14:paraId="6BA2237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bCs/>
                <w:color w:val="000000" w:themeColor="text1"/>
                <w:sz w:val="24"/>
                <w:szCs w:val="24"/>
                <w:vertAlign w:val="baseline"/>
                <w:lang w:eastAsia="zh-CN"/>
                <w14:textFill>
                  <w14:solidFill>
                    <w14:schemeClr w14:val="tx1"/>
                  </w14:solidFill>
                </w14:textFill>
              </w:rPr>
            </w:pPr>
          </w:p>
        </w:tc>
      </w:tr>
    </w:tbl>
    <w:p w14:paraId="57EB035E">
      <w:pPr>
        <w:rPr>
          <w:rFonts w:hint="eastAsia" w:ascii="黑体" w:hAnsi="黑体" w:eastAsia="黑体" w:cs="黑体"/>
          <w:b/>
          <w:bCs/>
          <w:color w:val="000000" w:themeColor="text1"/>
          <w:sz w:val="44"/>
          <w:szCs w:val="44"/>
          <w:lang w:eastAsia="zh-CN"/>
          <w14:textFill>
            <w14:solidFill>
              <w14:schemeClr w14:val="tx1"/>
            </w14:solidFill>
          </w14:textFill>
        </w:rPr>
      </w:pPr>
    </w:p>
    <w:p w14:paraId="5F3F8945">
      <w:pPr>
        <w:rPr>
          <w:rFonts w:hint="eastAsia" w:ascii="微软简老宋" w:hAnsi="微软简老宋" w:eastAsia="微软简老宋" w:cs="微软简老宋"/>
          <w:b w:val="0"/>
          <w:bCs w:val="0"/>
          <w:color w:val="00B0F0"/>
          <w:sz w:val="32"/>
          <w:szCs w:val="32"/>
        </w:rPr>
      </w:pPr>
      <w:r>
        <w:rPr>
          <w:rFonts w:hint="eastAsia" w:ascii="微软简老宋" w:hAnsi="微软简老宋" w:eastAsia="微软简老宋" w:cs="微软简老宋"/>
          <w:b w:val="0"/>
          <w:bCs w:val="0"/>
          <w:color w:val="00B0F0"/>
          <w:sz w:val="32"/>
          <w:szCs w:val="32"/>
        </w:rPr>
        <w:br w:type="page"/>
      </w:r>
    </w:p>
    <w:p w14:paraId="7C01B318">
      <w:pPr>
        <w:pStyle w:val="3"/>
        <w:bidi w:val="0"/>
        <w:jc w:val="center"/>
        <w:rPr>
          <w:rFonts w:hint="eastAsia"/>
          <w:color w:val="6787B2"/>
          <w:lang w:eastAsia="zh-CN"/>
        </w:rPr>
      </w:pPr>
      <w:r>
        <w:rPr>
          <w:rFonts w:hint="eastAsia"/>
          <w:color w:val="6787B2"/>
        </w:rPr>
        <w:t>第</w:t>
      </w:r>
      <w:r>
        <w:rPr>
          <w:rFonts w:hint="eastAsia"/>
          <w:color w:val="6787B2"/>
          <w:lang w:val="en-US" w:eastAsia="zh-CN"/>
        </w:rPr>
        <w:t>2</w:t>
      </w:r>
      <w:r>
        <w:rPr>
          <w:rFonts w:hint="eastAsia"/>
          <w:color w:val="6787B2"/>
        </w:rPr>
        <w:t>课</w:t>
      </w:r>
      <w:r>
        <w:rPr>
          <w:rFonts w:hint="eastAsia"/>
          <w:color w:val="6787B2"/>
          <w:lang w:val="en-US" w:eastAsia="zh-CN"/>
        </w:rPr>
        <w:t xml:space="preserve">  </w:t>
      </w:r>
      <w:r>
        <w:rPr>
          <w:rFonts w:hint="eastAsia"/>
          <w:color w:val="6787B2"/>
          <w:lang w:eastAsia="zh-CN"/>
        </w:rPr>
        <w:t>细胞的基本功能</w:t>
      </w:r>
    </w:p>
    <w:tbl>
      <w:tblPr>
        <w:tblStyle w:val="10"/>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Layout w:type="fixed"/>
        <w:tblCellMar>
          <w:top w:w="0" w:type="dxa"/>
          <w:left w:w="108" w:type="dxa"/>
          <w:bottom w:w="0" w:type="dxa"/>
          <w:right w:w="108" w:type="dxa"/>
        </w:tblCellMar>
      </w:tblPr>
      <w:tblGrid>
        <w:gridCol w:w="1541"/>
        <w:gridCol w:w="7014"/>
        <w:gridCol w:w="1650"/>
      </w:tblGrid>
      <w:tr w14:paraId="5F01AF29">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38F22855">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bookmarkStart w:id="0" w:name="_GoBack" w:colFirst="1" w:colLast="2"/>
            <w:r>
              <w:rPr>
                <w:rFonts w:hint="default" w:ascii="Times New Roman" w:hAnsi="宋体"/>
                <w:b/>
                <w:szCs w:val="20"/>
              </w:rPr>
              <w:t>课</w:t>
            </w:r>
            <w:r>
              <w:rPr>
                <w:rFonts w:hint="eastAsia" w:ascii="Times New Roman" w:hAnsi="Times New Roman"/>
                <w:b/>
                <w:szCs w:val="20"/>
              </w:rPr>
              <w:t>题</w:t>
            </w:r>
          </w:p>
        </w:tc>
        <w:tc>
          <w:tcPr>
            <w:tcW w:w="7173" w:type="dxa"/>
            <w:gridSpan w:val="2"/>
            <w:tcBorders>
              <w:tl2br w:val="nil"/>
              <w:tr2bl w:val="nil"/>
            </w:tcBorders>
            <w:vAlign w:val="center"/>
          </w:tcPr>
          <w:p w14:paraId="6147D455">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宋体"/>
                <w:szCs w:val="20"/>
                <w:lang w:eastAsia="zh-CN"/>
              </w:rPr>
              <w:t>细胞的基本功能</w:t>
            </w:r>
          </w:p>
        </w:tc>
      </w:tr>
      <w:tr w14:paraId="058583D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4AC271F5">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课时</w:t>
            </w:r>
          </w:p>
        </w:tc>
        <w:tc>
          <w:tcPr>
            <w:tcW w:w="7173" w:type="dxa"/>
            <w:gridSpan w:val="2"/>
            <w:tcBorders>
              <w:tl2br w:val="nil"/>
              <w:tr2bl w:val="nil"/>
            </w:tcBorders>
            <w:vAlign w:val="center"/>
          </w:tcPr>
          <w:p w14:paraId="257CC6F5">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szCs w:val="20"/>
                <w:lang w:val="en-US" w:eastAsia="zh-CN"/>
              </w:rPr>
              <w:t>5</w:t>
            </w:r>
            <w:r>
              <w:rPr>
                <w:rFonts w:hint="default" w:ascii="Times New Roman" w:hAnsi="宋体"/>
                <w:szCs w:val="20"/>
              </w:rPr>
              <w:t>课时</w:t>
            </w:r>
            <w:r>
              <w:rPr>
                <w:rFonts w:hint="eastAsia" w:ascii="Times New Roman" w:hAnsi="宋体"/>
                <w:szCs w:val="20"/>
              </w:rPr>
              <w:t>（</w:t>
            </w:r>
            <w:r>
              <w:rPr>
                <w:rFonts w:hint="eastAsia" w:ascii="Times New Roman" w:hAnsi="宋体"/>
                <w:szCs w:val="20"/>
                <w:lang w:val="en-US" w:eastAsia="zh-CN"/>
              </w:rPr>
              <w:t>225</w:t>
            </w:r>
            <w:r>
              <w:rPr>
                <w:rFonts w:hint="eastAsia" w:ascii="Times New Roman" w:hAnsi="宋体"/>
                <w:szCs w:val="20"/>
              </w:rPr>
              <w:t>min）。</w:t>
            </w:r>
          </w:p>
        </w:tc>
      </w:tr>
      <w:tr w14:paraId="280514E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193B8F72">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教学目标</w:t>
            </w:r>
          </w:p>
        </w:tc>
        <w:tc>
          <w:tcPr>
            <w:tcW w:w="7173" w:type="dxa"/>
            <w:gridSpan w:val="2"/>
            <w:tcBorders>
              <w:tl2br w:val="nil"/>
              <w:tr2bl w:val="nil"/>
            </w:tcBorders>
            <w:vAlign w:val="center"/>
          </w:tcPr>
          <w:p w14:paraId="678912D9">
            <w:pPr>
              <w:keepNext w:val="0"/>
              <w:keepLines w:val="0"/>
              <w:suppressLineNumbers w:val="0"/>
              <w:spacing w:before="0" w:beforeAutospacing="0" w:after="0" w:afterAutospacing="0" w:line="360" w:lineRule="auto"/>
              <w:ind w:left="0" w:right="0" w:hanging="8"/>
              <w:rPr>
                <w:rFonts w:hint="default"/>
                <w:b/>
              </w:rPr>
            </w:pPr>
            <w:r>
              <w:rPr>
                <w:rFonts w:hint="default" w:hAnsi="宋体"/>
                <w:b/>
              </w:rPr>
              <w:t>知识</w:t>
            </w:r>
            <w:r>
              <w:rPr>
                <w:rFonts w:hint="eastAsia" w:hAnsi="宋体"/>
                <w:b/>
              </w:rPr>
              <w:t>技能</w:t>
            </w:r>
            <w:r>
              <w:rPr>
                <w:rFonts w:hint="default" w:hAnsi="宋体"/>
                <w:b/>
              </w:rPr>
              <w:t>目标：</w:t>
            </w:r>
          </w:p>
          <w:p w14:paraId="5298E7D0">
            <w:pPr>
              <w:keepNext w:val="0"/>
              <w:keepLines w:val="0"/>
              <w:suppressLineNumbers w:val="0"/>
              <w:spacing w:before="0" w:beforeAutospacing="0" w:after="0" w:afterAutospacing="0" w:line="360" w:lineRule="auto"/>
              <w:ind w:left="0" w:right="0" w:hanging="8"/>
              <w:rPr>
                <w:rFonts w:hint="default" w:ascii="Times New Roman" w:hAnsi="宋体"/>
                <w:bCs/>
                <w:szCs w:val="20"/>
              </w:rPr>
            </w:pPr>
            <w:r>
              <w:rPr>
                <w:rFonts w:hint="default" w:ascii="Times New Roman" w:hAnsi="Times New Roman"/>
                <w:szCs w:val="20"/>
              </w:rPr>
              <w:t>1</w:t>
            </w:r>
            <w:r>
              <w:rPr>
                <w:rFonts w:hint="default" w:ascii="Times New Roman" w:hAnsi="宋体"/>
                <w:bCs/>
                <w:szCs w:val="20"/>
              </w:rPr>
              <w:t>．</w:t>
            </w:r>
            <w:r>
              <w:rPr>
                <w:rFonts w:hint="eastAsia" w:ascii="Times New Roman" w:hAnsi="宋体"/>
                <w:bCs/>
                <w:szCs w:val="20"/>
              </w:rPr>
              <w:t>解释静息电位和动作电位的概念及产生机制。</w:t>
            </w:r>
          </w:p>
          <w:p w14:paraId="4194134C">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Times New Roman"/>
                <w:szCs w:val="20"/>
              </w:rPr>
              <w:t>2</w:t>
            </w:r>
            <w:r>
              <w:rPr>
                <w:rFonts w:hint="default" w:ascii="Times New Roman" w:hAnsi="宋体"/>
                <w:bCs/>
                <w:szCs w:val="20"/>
              </w:rPr>
              <w:t>．</w:t>
            </w:r>
            <w:r>
              <w:rPr>
                <w:rFonts w:hint="eastAsia" w:ascii="Times New Roman" w:hAnsi="宋体"/>
                <w:bCs/>
                <w:szCs w:val="20"/>
              </w:rPr>
              <w:t>通过多媒体示教培养学生抽象思维能力和观察问题能力。</w:t>
            </w:r>
          </w:p>
          <w:p w14:paraId="379AEB13">
            <w:pPr>
              <w:keepNext w:val="0"/>
              <w:keepLines w:val="0"/>
              <w:suppressLineNumbers w:val="0"/>
              <w:spacing w:before="0" w:beforeAutospacing="0" w:after="0" w:afterAutospacing="0" w:line="360" w:lineRule="auto"/>
              <w:ind w:left="0" w:right="0" w:hanging="8"/>
              <w:rPr>
                <w:rFonts w:hint="default" w:ascii="Times New Roman" w:hAnsi="Times New Roman"/>
                <w:b/>
                <w:szCs w:val="20"/>
              </w:rPr>
            </w:pPr>
            <w:r>
              <w:rPr>
                <w:rFonts w:hint="default" w:ascii="Times New Roman" w:hAnsi="Times New Roman"/>
                <w:b/>
                <w:szCs w:val="20"/>
              </w:rPr>
              <w:t>思政育人目标</w:t>
            </w:r>
            <w:r>
              <w:rPr>
                <w:rFonts w:hint="eastAsia" w:ascii="Times New Roman" w:hAnsi="Times New Roman"/>
                <w:b/>
                <w:szCs w:val="20"/>
              </w:rPr>
              <w:t>：</w:t>
            </w:r>
          </w:p>
          <w:p w14:paraId="2A42278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20" w:firstLineChars="200"/>
              <w:textAlignment w:val="auto"/>
              <w:rPr>
                <w:rFonts w:hint="default" w:ascii="Times New Roman" w:hAnsi="Times New Roman"/>
                <w:szCs w:val="20"/>
              </w:rPr>
            </w:pPr>
            <w:r>
              <w:rPr>
                <w:rFonts w:hint="eastAsia" w:ascii="Times New Roman" w:hAnsi="宋体"/>
                <w:bCs/>
                <w:szCs w:val="20"/>
              </w:rPr>
              <w:t>让学生通过学习</w:t>
            </w:r>
            <w:r>
              <w:rPr>
                <w:rFonts w:hint="eastAsia" w:ascii="Times New Roman" w:hAnsi="宋体"/>
                <w:bCs/>
                <w:szCs w:val="20"/>
                <w:lang w:eastAsia="zh-CN"/>
              </w:rPr>
              <w:t>细胞的基本功能</w:t>
            </w:r>
            <w:r>
              <w:rPr>
                <w:rFonts w:hint="eastAsia" w:ascii="Times New Roman" w:hAnsi="宋体"/>
                <w:bCs/>
                <w:szCs w:val="20"/>
              </w:rPr>
              <w:t>，帮助学生确立辩证唯物主义的生命观和整体观。</w:t>
            </w:r>
          </w:p>
        </w:tc>
      </w:tr>
      <w:tr w14:paraId="4A2DD1E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5DBCF8A1">
            <w:pPr>
              <w:keepNext w:val="0"/>
              <w:keepLines w:val="0"/>
              <w:suppressLineNumbers w:val="0"/>
              <w:spacing w:before="0" w:beforeAutospacing="0" w:after="0" w:afterAutospacing="0" w:line="264" w:lineRule="auto"/>
              <w:ind w:left="0" w:right="0" w:hanging="8"/>
              <w:jc w:val="center"/>
              <w:rPr>
                <w:rFonts w:hint="default" w:ascii="Times New Roman" w:hAnsi="宋体"/>
                <w:b/>
                <w:szCs w:val="20"/>
              </w:rPr>
            </w:pPr>
            <w:r>
              <w:rPr>
                <w:rFonts w:hint="default" w:ascii="Times New Roman" w:hAnsi="宋体"/>
                <w:b/>
                <w:szCs w:val="20"/>
              </w:rPr>
              <w:t>教学重</w:t>
            </w:r>
            <w:r>
              <w:rPr>
                <w:rFonts w:hint="eastAsia" w:ascii="Times New Roman" w:hAnsi="宋体"/>
                <w:b/>
                <w:szCs w:val="20"/>
              </w:rPr>
              <w:t>难</w:t>
            </w:r>
            <w:r>
              <w:rPr>
                <w:rFonts w:hint="default" w:ascii="Times New Roman" w:hAnsi="宋体"/>
                <w:b/>
                <w:szCs w:val="20"/>
              </w:rPr>
              <w:t>点</w:t>
            </w:r>
          </w:p>
        </w:tc>
        <w:tc>
          <w:tcPr>
            <w:tcW w:w="7173" w:type="dxa"/>
            <w:gridSpan w:val="2"/>
            <w:tcBorders>
              <w:tl2br w:val="nil"/>
              <w:tr2bl w:val="nil"/>
            </w:tcBorders>
            <w:vAlign w:val="center"/>
          </w:tcPr>
          <w:p w14:paraId="26FF69A2">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Times New Roman"/>
                <w:b/>
                <w:szCs w:val="20"/>
              </w:rPr>
              <w:t>教学重点：</w:t>
            </w:r>
            <w:r>
              <w:rPr>
                <w:rFonts w:hint="eastAsia" w:ascii="宋体" w:hAnsi="宋体" w:cs="宋体"/>
                <w:kern w:val="0"/>
              </w:rPr>
              <w:t>细胞的跨膜信号转导功能</w:t>
            </w:r>
          </w:p>
          <w:p w14:paraId="6C66B233">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b/>
                <w:szCs w:val="20"/>
              </w:rPr>
              <w:t>教学难点：</w:t>
            </w:r>
            <w:r>
              <w:rPr>
                <w:rFonts w:hint="eastAsia" w:ascii="宋体" w:hAnsi="宋体" w:cs="宋体"/>
                <w:kern w:val="0"/>
              </w:rPr>
              <w:t>肌细胞的收缩功能</w:t>
            </w:r>
          </w:p>
        </w:tc>
      </w:tr>
      <w:tr w14:paraId="4EBFB5A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0E441C9D">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教学方法</w:t>
            </w:r>
          </w:p>
        </w:tc>
        <w:tc>
          <w:tcPr>
            <w:tcW w:w="7173" w:type="dxa"/>
            <w:gridSpan w:val="2"/>
            <w:tcBorders>
              <w:tl2br w:val="nil"/>
              <w:tr2bl w:val="nil"/>
            </w:tcBorders>
            <w:vAlign w:val="center"/>
          </w:tcPr>
          <w:p w14:paraId="0C31DF7D">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讲授法、问答法、讨论法</w:t>
            </w:r>
          </w:p>
        </w:tc>
      </w:tr>
      <w:tr w14:paraId="3D5246E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44EDBAE0">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教学用具</w:t>
            </w:r>
          </w:p>
        </w:tc>
        <w:tc>
          <w:tcPr>
            <w:tcW w:w="7173" w:type="dxa"/>
            <w:gridSpan w:val="2"/>
            <w:tcBorders>
              <w:tl2br w:val="nil"/>
              <w:tr2bl w:val="nil"/>
            </w:tcBorders>
            <w:vAlign w:val="center"/>
          </w:tcPr>
          <w:p w14:paraId="21DD89BB">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电脑、投影仪、</w:t>
            </w:r>
            <w:r>
              <w:rPr>
                <w:rFonts w:hint="default" w:ascii="Times New Roman" w:hAnsi="宋体"/>
                <w:szCs w:val="20"/>
              </w:rPr>
              <w:t>多媒体</w:t>
            </w:r>
            <w:r>
              <w:rPr>
                <w:rFonts w:hint="eastAsia" w:ascii="Times New Roman" w:hAnsi="宋体"/>
                <w:szCs w:val="20"/>
              </w:rPr>
              <w:t>课件、教材</w:t>
            </w:r>
          </w:p>
        </w:tc>
      </w:tr>
      <w:tr w14:paraId="689D74B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bottom w:val="double" w:color="4472C4" w:themeColor="accent5" w:sz="4" w:space="0"/>
              <w:tl2br w:val="nil"/>
              <w:tr2bl w:val="nil"/>
            </w:tcBorders>
            <w:shd w:val="clear" w:color="auto" w:fill="DAF8FF"/>
            <w:vAlign w:val="center"/>
          </w:tcPr>
          <w:p w14:paraId="43BAA7D8">
            <w:pPr>
              <w:keepNext w:val="0"/>
              <w:keepLines w:val="0"/>
              <w:suppressLineNumbers w:val="0"/>
              <w:spacing w:before="0" w:beforeAutospacing="0" w:after="0" w:afterAutospacing="0" w:line="264" w:lineRule="auto"/>
              <w:ind w:left="0" w:right="0" w:hanging="8"/>
              <w:jc w:val="center"/>
              <w:rPr>
                <w:rFonts w:hint="default" w:ascii="Times New Roman" w:hAnsi="宋体"/>
                <w:b/>
                <w:szCs w:val="20"/>
              </w:rPr>
            </w:pPr>
            <w:r>
              <w:rPr>
                <w:rFonts w:hint="default" w:ascii="Times New Roman" w:hAnsi="宋体"/>
                <w:b/>
                <w:szCs w:val="20"/>
              </w:rPr>
              <w:t>教学设计</w:t>
            </w:r>
          </w:p>
        </w:tc>
        <w:tc>
          <w:tcPr>
            <w:tcW w:w="7173" w:type="dxa"/>
            <w:gridSpan w:val="2"/>
            <w:tcBorders>
              <w:bottom w:val="double" w:color="4472C4" w:themeColor="accent5" w:sz="4" w:space="0"/>
              <w:tl2br w:val="nil"/>
              <w:tr2bl w:val="nil"/>
            </w:tcBorders>
            <w:vAlign w:val="center"/>
          </w:tcPr>
          <w:p w14:paraId="4CADACE5">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1</w:t>
            </w:r>
            <w:r>
              <w:rPr>
                <w:rFonts w:hint="eastAsia" w:ascii="Times New Roman" w:hAnsi="宋体"/>
                <w:kern w:val="0"/>
                <w:szCs w:val="20"/>
              </w:rPr>
              <w:t>节课：</w:t>
            </w:r>
            <w:r>
              <w:rPr>
                <w:rFonts w:hint="eastAsia" w:ascii="Times New Roman" w:hAnsi="宋体"/>
                <w:szCs w:val="20"/>
                <w:lang w:eastAsia="zh-CN"/>
              </w:rPr>
              <w:t>考勤</w:t>
            </w:r>
            <w:r>
              <w:rPr>
                <w:rFonts w:hint="eastAsia" w:ascii="Times New Roman" w:hAnsi="宋体"/>
                <w:szCs w:val="20"/>
              </w:rPr>
              <w:t>（</w:t>
            </w:r>
            <w:r>
              <w:rPr>
                <w:rFonts w:hint="eastAsia" w:ascii="Times New Roman" w:hAnsi="宋体"/>
                <w:szCs w:val="20"/>
                <w:lang w:val="en-US" w:eastAsia="zh-CN"/>
              </w:rPr>
              <w:t>2</w:t>
            </w:r>
            <w:r>
              <w:rPr>
                <w:rFonts w:hint="eastAsia" w:ascii="Times New Roman" w:hAnsi="宋体"/>
                <w:szCs w:val="20"/>
              </w:rPr>
              <w:t>min）--</w:t>
            </w:r>
            <w:r>
              <w:rPr>
                <w:rFonts w:hint="eastAsia" w:ascii="Times New Roman" w:hAnsi="宋体"/>
                <w:szCs w:val="20"/>
                <w:lang w:eastAsia="zh-CN"/>
              </w:rPr>
              <w:t>知识讲解</w:t>
            </w:r>
            <w:r>
              <w:rPr>
                <w:rFonts w:hint="eastAsia" w:ascii="Times New Roman" w:hAnsi="宋体"/>
                <w:szCs w:val="20"/>
              </w:rPr>
              <w:t>（</w:t>
            </w:r>
            <w:r>
              <w:rPr>
                <w:rFonts w:hint="default" w:ascii="Times New Roman" w:hAnsi="宋体"/>
                <w:szCs w:val="20"/>
              </w:rPr>
              <w:t>40</w:t>
            </w:r>
            <w:r>
              <w:rPr>
                <w:rFonts w:hint="eastAsia" w:ascii="Times New Roman" w:hAnsi="宋体"/>
                <w:szCs w:val="20"/>
              </w:rPr>
              <w:t>min）</w:t>
            </w:r>
            <w:r>
              <w:rPr>
                <w:rFonts w:hint="eastAsia" w:ascii="Times New Roman" w:hAnsi="宋体"/>
                <w:szCs w:val="20"/>
                <w:lang w:val="en-US" w:eastAsia="zh-CN"/>
              </w:rPr>
              <w:t>--作业布置（3min）</w:t>
            </w:r>
          </w:p>
          <w:p w14:paraId="4A26A99C">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2</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val="en-US" w:eastAsia="zh-CN"/>
              </w:rPr>
              <w:t>--作业布置（2min）</w:t>
            </w:r>
          </w:p>
          <w:p w14:paraId="355E87A0">
            <w:pPr>
              <w:keepNext w:val="0"/>
              <w:keepLines w:val="0"/>
              <w:suppressLineNumbers w:val="0"/>
              <w:spacing w:before="0" w:beforeAutospacing="0" w:after="0" w:afterAutospacing="0" w:line="360" w:lineRule="auto"/>
              <w:ind w:left="0" w:right="0" w:hanging="8"/>
              <w:rPr>
                <w:rFonts w:hint="eastAsia" w:ascii="Times New Roman" w:hAnsi="宋体"/>
                <w:szCs w:val="20"/>
              </w:rPr>
            </w:pPr>
            <w:r>
              <w:rPr>
                <w:rFonts w:hint="eastAsia" w:ascii="Times New Roman" w:hAnsi="宋体"/>
                <w:kern w:val="0"/>
                <w:szCs w:val="20"/>
              </w:rPr>
              <w:t>第</w:t>
            </w:r>
            <w:r>
              <w:rPr>
                <w:rFonts w:hint="default" w:ascii="Times New Roman" w:hAnsi="宋体"/>
                <w:kern w:val="0"/>
                <w:szCs w:val="20"/>
              </w:rPr>
              <w:t>3</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eastAsia="zh-CN"/>
              </w:rPr>
              <w:t>作业布置</w:t>
            </w:r>
            <w:r>
              <w:rPr>
                <w:rFonts w:hint="eastAsia" w:ascii="Times New Roman" w:hAnsi="宋体"/>
                <w:szCs w:val="20"/>
              </w:rPr>
              <w:t>（2min）</w:t>
            </w:r>
          </w:p>
          <w:p w14:paraId="372966DE">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4</w:t>
            </w:r>
            <w:r>
              <w:rPr>
                <w:rFonts w:hint="default" w:ascii="Times New Roman" w:hAnsi="宋体"/>
                <w:szCs w:val="20"/>
              </w:rPr>
              <w:t>节课：知识讲解（40min）--课堂小结（3min）--作业布置（2min）</w:t>
            </w:r>
          </w:p>
          <w:p w14:paraId="4A2B0676">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5</w:t>
            </w:r>
            <w:r>
              <w:rPr>
                <w:rFonts w:hint="default" w:ascii="Times New Roman" w:hAnsi="宋体"/>
                <w:szCs w:val="20"/>
              </w:rPr>
              <w:t>节课：知识讲解（40min）--课堂小结（3min）--作业布置（2min）</w:t>
            </w:r>
          </w:p>
        </w:tc>
      </w:tr>
      <w:tr w14:paraId="2CF20CC9">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op w:val="double" w:color="4472C4" w:themeColor="accent5" w:sz="4" w:space="0"/>
              <w:bottom w:val="double" w:color="4472C4" w:themeColor="accent5" w:sz="4" w:space="0"/>
            </w:tcBorders>
            <w:shd w:val="clear" w:color="auto" w:fill="DAF8FF"/>
            <w:vAlign w:val="center"/>
          </w:tcPr>
          <w:p w14:paraId="20638DF7">
            <w:pPr>
              <w:keepNext w:val="0"/>
              <w:keepLines w:val="0"/>
              <w:suppressLineNumbers w:val="0"/>
              <w:spacing w:before="0" w:beforeAutospacing="0" w:after="0" w:afterAutospacing="0" w:line="360" w:lineRule="auto"/>
              <w:ind w:left="0" w:right="0" w:hanging="8"/>
              <w:jc w:val="center"/>
              <w:rPr>
                <w:rFonts w:hint="default" w:ascii="Times New Roman" w:hAnsi="Times New Roman"/>
                <w:b/>
                <w:bCs w:val="0"/>
                <w:color w:val="C00000"/>
                <w:szCs w:val="24"/>
              </w:rPr>
            </w:pPr>
            <w:r>
              <w:rPr>
                <w:rFonts w:hint="eastAsia" w:ascii="Times New Roman" w:hAnsi="Times New Roman"/>
                <w:b/>
                <w:bCs w:val="0"/>
                <w:color w:val="C00000"/>
                <w:szCs w:val="24"/>
              </w:rPr>
              <w:t>教学过程</w:t>
            </w:r>
          </w:p>
        </w:tc>
        <w:tc>
          <w:tcPr>
            <w:tcW w:w="5807" w:type="dxa"/>
            <w:tcBorders>
              <w:top w:val="double" w:color="4472C4" w:themeColor="accent5" w:sz="4" w:space="0"/>
              <w:bottom w:val="double" w:color="4472C4" w:themeColor="accent5" w:sz="4" w:space="0"/>
            </w:tcBorders>
            <w:shd w:val="clear" w:color="auto" w:fill="DAF8FF"/>
            <w:vAlign w:val="center"/>
          </w:tcPr>
          <w:p w14:paraId="3DA6D01B">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eastAsia" w:ascii="Times New Roman" w:hAnsi="Times New Roman"/>
                <w:b/>
                <w:bCs w:val="0"/>
                <w:color w:val="C00000"/>
                <w:szCs w:val="24"/>
              </w:rPr>
              <w:t>主要教学内容及步骤</w:t>
            </w:r>
          </w:p>
        </w:tc>
        <w:tc>
          <w:tcPr>
            <w:tcW w:w="1366" w:type="dxa"/>
            <w:tcBorders>
              <w:top w:val="double" w:color="4472C4" w:themeColor="accent5" w:sz="4" w:space="0"/>
              <w:bottom w:val="double" w:color="4472C4" w:themeColor="accent5" w:sz="4" w:space="0"/>
            </w:tcBorders>
            <w:shd w:val="clear" w:color="auto" w:fill="DAF8FF"/>
            <w:vAlign w:val="center"/>
          </w:tcPr>
          <w:p w14:paraId="29E7965F">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default" w:ascii="Times New Roman" w:hAnsi="Times New Roman"/>
                <w:b/>
                <w:bCs w:val="0"/>
                <w:color w:val="C00000"/>
                <w:szCs w:val="20"/>
              </w:rPr>
              <w:t>设计意图</w:t>
            </w:r>
          </w:p>
        </w:tc>
      </w:tr>
      <w:tr w14:paraId="4F0FE07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op w:val="double" w:color="4472C4" w:themeColor="accent5" w:sz="4" w:space="0"/>
              <w:tl2br w:val="nil"/>
              <w:tr2bl w:val="nil"/>
            </w:tcBorders>
            <w:shd w:val="clear" w:color="auto" w:fill="DAF8FF"/>
            <w:vAlign w:val="center"/>
          </w:tcPr>
          <w:p w14:paraId="76446B87">
            <w:pPr>
              <w:keepNext w:val="0"/>
              <w:keepLines w:val="0"/>
              <w:suppressLineNumbers w:val="0"/>
              <w:spacing w:before="0" w:beforeAutospacing="0" w:after="0" w:afterAutospacing="0" w:line="264"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考勤</w:t>
            </w:r>
          </w:p>
          <w:p w14:paraId="4E1E5E65">
            <w:pPr>
              <w:keepNext w:val="0"/>
              <w:keepLines w:val="0"/>
              <w:suppressLineNumbers w:val="0"/>
              <w:spacing w:before="0" w:beforeAutospacing="0" w:after="0" w:afterAutospacing="0" w:line="264"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w:t>
            </w:r>
            <w:r>
              <w:rPr>
                <w:rFonts w:hint="eastAsia" w:ascii="Times New Roman" w:hAnsi="Times New Roman"/>
                <w:b/>
                <w:szCs w:val="24"/>
                <w:lang w:val="en-US" w:eastAsia="zh-CN"/>
              </w:rPr>
              <w:t>2min</w:t>
            </w:r>
            <w:r>
              <w:rPr>
                <w:rFonts w:hint="eastAsia" w:ascii="Times New Roman" w:hAnsi="Times New Roman"/>
                <w:b/>
                <w:szCs w:val="24"/>
                <w:lang w:eastAsia="zh-CN"/>
              </w:rPr>
              <w:t>）</w:t>
            </w:r>
          </w:p>
        </w:tc>
        <w:tc>
          <w:tcPr>
            <w:tcW w:w="5807" w:type="dxa"/>
            <w:tcBorders>
              <w:top w:val="double" w:color="4472C4" w:themeColor="accent5" w:sz="4" w:space="0"/>
              <w:tl2br w:val="nil"/>
              <w:tr2bl w:val="nil"/>
            </w:tcBorders>
            <w:vAlign w:val="center"/>
          </w:tcPr>
          <w:p w14:paraId="7F2648A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Cs w:val="24"/>
              </w:rPr>
            </w:pPr>
            <w:r>
              <w:rPr>
                <w:rFonts w:hint="eastAsia" w:ascii="Times New Roman" w:hAnsi="Times New Roman"/>
                <w:color w:val="C00000"/>
                <w:szCs w:val="24"/>
              </w:rPr>
              <w:t>■</w:t>
            </w:r>
            <w:r>
              <w:rPr>
                <w:rFonts w:hint="eastAsia" w:ascii="Times New Roman" w:hAnsi="Times New Roman"/>
                <w:color w:val="C00000"/>
                <w:szCs w:val="24"/>
                <w:lang w:eastAsia="zh-CN"/>
              </w:rPr>
              <w:t>【教师】</w:t>
            </w:r>
            <w:r>
              <w:rPr>
                <w:rFonts w:hint="eastAsia" w:ascii="Times New Roman" w:hAnsi="Times New Roman"/>
                <w:color w:val="C00000"/>
                <w:szCs w:val="24"/>
              </w:rPr>
              <w:t>清点上课人数，记录好考勤</w:t>
            </w:r>
          </w:p>
          <w:p w14:paraId="1C684FB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Cs w:val="24"/>
              </w:rPr>
            </w:pPr>
            <w:r>
              <w:rPr>
                <w:rFonts w:hint="eastAsia" w:ascii="Times New Roman" w:hAnsi="Times New Roman"/>
                <w:color w:val="548235" w:themeColor="accent6" w:themeShade="BF"/>
                <w:szCs w:val="24"/>
              </w:rPr>
              <w:t>■</w:t>
            </w:r>
            <w:r>
              <w:rPr>
                <w:rFonts w:hint="eastAsia" w:ascii="Times New Roman" w:hAnsi="Times New Roman"/>
                <w:color w:val="548235" w:themeColor="accent6" w:themeShade="BF"/>
                <w:szCs w:val="24"/>
                <w:lang w:eastAsia="zh-CN"/>
              </w:rPr>
              <w:t>【学生】</w:t>
            </w:r>
            <w:r>
              <w:rPr>
                <w:rFonts w:hint="eastAsia" w:ascii="Times New Roman" w:hAnsi="Times New Roman"/>
                <w:color w:val="548235" w:themeColor="accent6" w:themeShade="BF"/>
                <w:szCs w:val="24"/>
              </w:rPr>
              <w:t>班干部报请假人员及原因</w:t>
            </w:r>
          </w:p>
        </w:tc>
        <w:tc>
          <w:tcPr>
            <w:tcW w:w="1366" w:type="dxa"/>
            <w:tcBorders>
              <w:top w:val="double" w:color="4472C4" w:themeColor="accent5" w:sz="4" w:space="0"/>
              <w:tl2br w:val="nil"/>
              <w:tr2bl w:val="nil"/>
            </w:tcBorders>
            <w:vAlign w:val="center"/>
          </w:tcPr>
          <w:p w14:paraId="35539D57">
            <w:pPr>
              <w:keepNext w:val="0"/>
              <w:keepLines w:val="0"/>
              <w:suppressLineNumbers w:val="0"/>
              <w:spacing w:before="0" w:beforeAutospacing="0" w:after="0" w:afterAutospacing="0" w:line="360" w:lineRule="auto"/>
              <w:ind w:left="0" w:right="0"/>
              <w:jc w:val="center"/>
              <w:rPr>
                <w:rFonts w:hint="default" w:ascii="Times New Roman" w:hAnsi="Times New Roman"/>
                <w:szCs w:val="20"/>
              </w:rPr>
            </w:pPr>
            <w:r>
              <w:rPr>
                <w:rFonts w:hint="eastAsia" w:ascii="Times New Roman" w:hAnsi="Times New Roman"/>
                <w:szCs w:val="20"/>
              </w:rPr>
              <w:t>培养学生的组织纪律性,掌握学生的出勤情况</w:t>
            </w:r>
          </w:p>
        </w:tc>
      </w:tr>
      <w:tr w14:paraId="1995494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58BBF8D3">
            <w:pPr>
              <w:keepNext w:val="0"/>
              <w:keepLines w:val="0"/>
              <w:suppressLineNumbers w:val="0"/>
              <w:spacing w:before="0" w:beforeAutospacing="0" w:after="0" w:afterAutospacing="0"/>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61598EDE">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4"/>
              </w:rPr>
            </w:pPr>
            <w:r>
              <w:rPr>
                <w:rFonts w:hint="default" w:ascii="Times New Roman" w:hAnsi="Times New Roman"/>
                <w:szCs w:val="24"/>
              </w:rPr>
              <w:t>（</w:t>
            </w:r>
            <w:r>
              <w:rPr>
                <w:rFonts w:hint="eastAsia" w:ascii="Times New Roman" w:hAnsi="Times New Roman"/>
                <w:szCs w:val="24"/>
                <w:lang w:val="en-US" w:eastAsia="zh-CN"/>
              </w:rPr>
              <w:t>40</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39C2ADF6">
            <w:pPr>
              <w:keepNext w:val="0"/>
              <w:keepLines w:val="0"/>
              <w:widowControl/>
              <w:suppressLineNumbers w:val="0"/>
              <w:spacing w:before="0" w:beforeAutospacing="0" w:after="0" w:afterAutospacing="0" w:line="360" w:lineRule="auto"/>
              <w:ind w:left="0" w:right="0"/>
              <w:jc w:val="left"/>
              <w:rPr>
                <w:rFonts w:hint="eastAsia" w:ascii="Times New Roman" w:hAnsi="Times New Roman"/>
                <w:b w:val="0"/>
                <w:bCs/>
                <w:color w:val="C00000"/>
                <w:lang w:val="en-US" w:eastAsia="zh-CN"/>
              </w:rPr>
            </w:pPr>
            <w:r>
              <w:rPr>
                <w:rFonts w:hint="eastAsia" w:ascii="Times New Roman" w:hAnsi="Times New Roman"/>
                <w:b/>
                <w:color w:val="C00000"/>
              </w:rPr>
              <w:t>【教师】</w:t>
            </w:r>
            <w:r>
              <w:rPr>
                <w:rFonts w:hint="eastAsia" w:ascii="宋体" w:hAnsi="宋体" w:eastAsia="宋体" w:cs="宋体"/>
                <w:b w:val="0"/>
                <w:bCs/>
                <w:color w:val="C00000"/>
                <w:kern w:val="2"/>
                <w:sz w:val="21"/>
                <w:szCs w:val="21"/>
                <w:lang w:val="en-US" w:eastAsia="zh-CN" w:bidi="ar"/>
              </w:rPr>
              <w:t>展示细胞膜的物质转运功能（</w:t>
            </w:r>
            <w:r>
              <w:rPr>
                <w:rFonts w:hint="eastAsia" w:ascii="Times New Roman" w:hAnsi="Times New Roman"/>
                <w:b w:val="0"/>
                <w:bCs/>
                <w:color w:val="C00000"/>
                <w:lang w:val="en-US" w:eastAsia="zh-CN"/>
              </w:rPr>
              <w:t>一）</w:t>
            </w:r>
          </w:p>
          <w:p w14:paraId="7A80E3D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细胞由细胞膜、细胞质和其内的细胞器、细胞核等组成。其中细胞膜将细胞内容物与细胞周围环境分隔开，形成细胞的屏障，所以当细胞与周围环境进行物质交换时，细胞膜起着重要的转运作用，这对保持细胞内物质成分的相对稳定、正常的新陈代谢有着重要意义。</w:t>
            </w:r>
          </w:p>
          <w:p w14:paraId="7080997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细胞膜主要是由脂质、蛋白质和少量糖类等物质组成，这些物质在细胞膜中如何排列，是决定细胞膜的基本生物学特征的重要因素。</w:t>
            </w:r>
          </w:p>
          <w:p w14:paraId="053E316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至今为止，关于细胞膜中各种物质的排列模型有许多不同的学说，其中被广泛接受的是“液态镶嵌模型”，即细胞膜是以脂质双分子层为基架，其间镶嵌有多种结构和功能不同的蛋白质。本任务主要讨论细胞膜的物质转运功能。</w:t>
            </w:r>
          </w:p>
          <w:p w14:paraId="75EC07E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细胞通过细胞膜与周围环境进行物质交换。细胞膜对不同理化性质的溶质具有不同的转运机制：脂溶性的和少数分子很小的水溶性物质可直接通过细胞膜；大部分水溶性溶质分子和所有离子必须在膜蛋白的帮助下才可通过细胞膜；大分子物质或物质团块则需以入胞或出胞的方式进出细胞。</w:t>
            </w:r>
          </w:p>
          <w:p w14:paraId="5058404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一、单纯扩散</w:t>
            </w:r>
          </w:p>
          <w:p w14:paraId="5F57564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单纯扩散（simple diffusion）是指脂溶性的小分子物质从细胞膜浓度高的一侧向浓度低的一侧转运的过程。</w:t>
            </w:r>
          </w:p>
          <w:p w14:paraId="3557AB1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单纯扩散是物质跨膜转运中最简单的一种，不需要任何膜蛋白的帮助，因此这种方式仅适合于脂溶性很强的物质，在机体内以这种方式进出细胞膜的物质不多，比较肯定的是O2、CO2、NO、NH3 等气体。</w:t>
            </w:r>
          </w:p>
          <w:p w14:paraId="45FD90E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在单纯扩散中，扩散的方向及速率取决于该物质在膜两侧的浓度差和膜对该物质的通透性。</w:t>
            </w:r>
          </w:p>
          <w:p w14:paraId="0793201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二、易化扩散</w:t>
            </w:r>
          </w:p>
          <w:p w14:paraId="53F4916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易化扩散（facilitated diffusion）是指非脂溶性的小分子物质或带电离子，在细胞膜特殊蛋白质的帮助下，顺浓度梯度和（或）电位梯度进行的跨膜转运。根据参与转运的蛋白质的构型，可将易化扩散分为载体转运（carrier transport）和通道转运（channel transport）两种。易化扩散属于被动转运，无须消耗 ATP。</w:t>
            </w:r>
          </w:p>
          <w:p w14:paraId="378A4A8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bCs w:val="0"/>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（一）载体转运</w:t>
            </w:r>
          </w:p>
          <w:p w14:paraId="3178CDA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载体转运又称载体介导的易化扩散，是指借助于细胞膜上的载体蛋白质将物质从细胞膜高浓度的一侧向低浓度的一侧进行转运的过程。</w:t>
            </w:r>
          </w:p>
          <w:p w14:paraId="0E081FA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载体是介导小分子物质跨膜转运的一类膜蛋白，体内某些小分子有机物，如葡萄糖、氨基酸、核苷酸等都是由相应的载体转运的。载体转运具有以下 3 个特点：①高度的特异性。通常一种载体蛋白质只能转运某种特定结构的物质，如葡萄糖，载体只能转运右旋葡萄糖，而不能转运左旋葡萄糖。②饱和现象。载体蛋白质上的结合位点有限，所以当被转运的物质占据了全部的结合位点时，转运即达到饱和。③竞争性抑制。若某种载体能同时转运两种或两种以上结构非常相似的物质，其中一种物质浓度增加时，该物质的转运量增加，而其他物质的转运量会减少，该现象称为竞争性抑制。</w:t>
            </w:r>
          </w:p>
          <w:p w14:paraId="0A1C643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bCs w:val="0"/>
                <w:color w:val="000000" w:themeColor="text1"/>
                <w:lang w:val="en-US" w:eastAsia="zh-CN"/>
                <w14:textFill>
                  <w14:solidFill>
                    <w14:schemeClr w14:val="tx1"/>
                  </w14:solidFill>
                </w14:textFill>
              </w:rPr>
              <w:t>（二）通道转运</w:t>
            </w:r>
          </w:p>
          <w:p w14:paraId="00D9316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通道转运又称通道介导的易化扩散，是指各种带电离子在通道蛋白的介导下，顺浓度梯度和（或）电位梯度的跨膜物质转运。</w:t>
            </w:r>
          </w:p>
          <w:p w14:paraId="27F37FE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由于经通道介导的溶质几乎都是离子，因而通道也称离子通道。离子通道是一类贯穿脂质双层、中央带有亲水性孔道的膜蛋白。当孔道开放时，离子可顺浓度梯度和（或）电位梯度经孔道跨膜流动；孔道关闭，该离子转运停止。</w:t>
            </w:r>
          </w:p>
          <w:p w14:paraId="03F1302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离子通道具有两个基本特征：</w:t>
            </w:r>
          </w:p>
          <w:p w14:paraId="2515743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（1）离子选择性：指每种通道只对一种或几种离子有较高的通透性，而对其他离子通透性很小或不通透。例如，钾通道对 K+ 的通透性比 Na+ 大 1000 倍。</w:t>
            </w:r>
          </w:p>
          <w:p w14:paraId="0446CE7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b w:val="0"/>
                <w:bCs/>
                <w:color w:val="000000" w:themeColor="text1"/>
                <w:lang w:val="en-US" w:eastAsia="zh-CN"/>
                <w14:textFill>
                  <w14:solidFill>
                    <w14:schemeClr w14:val="tx1"/>
                  </w14:solidFill>
                </w14:textFill>
              </w:rPr>
            </w:pPr>
            <w:r>
              <w:rPr>
                <w:rFonts w:hint="default" w:ascii="Times New Roman" w:hAnsi="Times New Roman"/>
                <w:b w:val="0"/>
                <w:bCs/>
                <w:color w:val="000000" w:themeColor="text1"/>
                <w:lang w:val="en-US" w:eastAsia="zh-CN"/>
                <w14:textFill>
                  <w14:solidFill>
                    <w14:schemeClr w14:val="tx1"/>
                  </w14:solidFill>
                </w14:textFill>
              </w:rPr>
              <w:t>（2）门控特性：大部分通道蛋白内部有一些可移动的结构或化学基团，在通道开口处起着“闸门”作用。根据引起通道开放或关闭的条件不同，可将门控通道分电压门控通道、化学门控通道、机械门控通道等类型。</w:t>
            </w:r>
          </w:p>
          <w:p w14:paraId="50AA7BA4">
            <w:pPr>
              <w:keepNext w:val="0"/>
              <w:keepLines w:val="0"/>
              <w:widowControl w:val="0"/>
              <w:suppressLineNumbers w:val="0"/>
              <w:autoSpaceDE w:val="0"/>
              <w:autoSpaceDN/>
              <w:spacing w:before="0" w:beforeAutospacing="0" w:after="0" w:afterAutospacing="0" w:line="360" w:lineRule="auto"/>
              <w:ind w:left="0" w:right="0"/>
              <w:jc w:val="left"/>
              <w:rPr>
                <w:rFonts w:hint="default" w:ascii="Times New Roman" w:hAnsi="Times New Roman"/>
                <w:b/>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5FB94E6E">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val="en-US" w:eastAsia="zh-CN"/>
              </w:rPr>
              <w:t>展示细胞膜的物质转运功能（一）</w:t>
            </w:r>
            <w:r>
              <w:rPr>
                <w:rFonts w:hint="eastAsia" w:ascii="Times New Roman" w:hAnsi="Times New Roman"/>
                <w:b/>
                <w:szCs w:val="24"/>
              </w:rPr>
              <w:t>，</w:t>
            </w:r>
            <w:r>
              <w:rPr>
                <w:rFonts w:hint="eastAsia" w:ascii="Times New Roman" w:hAnsi="Times New Roman"/>
                <w:b/>
                <w:szCs w:val="24"/>
                <w:lang w:eastAsia="zh-CN"/>
              </w:rPr>
              <w:t>让学生更加仔细的阅读，从而</w:t>
            </w:r>
            <w:r>
              <w:rPr>
                <w:rFonts w:hint="eastAsia" w:ascii="Times New Roman" w:hAnsi="Times New Roman"/>
                <w:b/>
                <w:szCs w:val="24"/>
              </w:rPr>
              <w:t>激发学生的学习欲望。</w:t>
            </w:r>
          </w:p>
        </w:tc>
      </w:tr>
      <w:tr w14:paraId="62D618F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530C20EC">
            <w:pPr>
              <w:keepNext w:val="0"/>
              <w:keepLines w:val="0"/>
              <w:suppressLineNumbers w:val="0"/>
              <w:spacing w:before="0" w:beforeAutospacing="0" w:after="0" w:afterAutospacing="0" w:line="264" w:lineRule="auto"/>
              <w:ind w:left="0" w:right="0" w:hanging="8"/>
              <w:jc w:val="center"/>
              <w:rPr>
                <w:rFonts w:hint="default" w:ascii="Times New Roman" w:hAnsi="Times New Roman"/>
                <w:szCs w:val="24"/>
              </w:rPr>
            </w:pPr>
            <w:r>
              <w:rPr>
                <w:rFonts w:hint="eastAsia" w:ascii="微软雅黑" w:hAnsi="微软雅黑" w:eastAsia="微软雅黑"/>
                <w:b/>
                <w:sz w:val="24"/>
                <w:szCs w:val="24"/>
                <w:lang w:eastAsia="zh-CN"/>
              </w:rPr>
              <w:t>作业布置</w:t>
            </w:r>
            <w:r>
              <w:rPr>
                <w:rFonts w:hint="eastAsia" w:ascii="Times New Roman" w:hAnsi="Times New Roman"/>
                <w:b w:val="0"/>
                <w:bCs w:val="0"/>
                <w:szCs w:val="24"/>
              </w:rPr>
              <w:t>（</w:t>
            </w:r>
            <w:r>
              <w:rPr>
                <w:rFonts w:hint="eastAsia" w:ascii="Times New Roman" w:hAnsi="Times New Roman"/>
                <w:b w:val="0"/>
                <w:bCs w:val="0"/>
                <w:szCs w:val="24"/>
                <w:lang w:val="en-US" w:eastAsia="zh-CN"/>
              </w:rPr>
              <w:t>3</w:t>
            </w:r>
            <w:r>
              <w:rPr>
                <w:rFonts w:hint="eastAsia" w:ascii="Times New Roman" w:hAnsi="Times New Roman"/>
                <w:b w:val="0"/>
                <w:bCs w:val="0"/>
                <w:szCs w:val="24"/>
              </w:rPr>
              <w:t>min）</w:t>
            </w:r>
          </w:p>
        </w:tc>
        <w:tc>
          <w:tcPr>
            <w:tcW w:w="5807" w:type="dxa"/>
            <w:tcBorders>
              <w:tl2br w:val="nil"/>
              <w:tr2bl w:val="nil"/>
            </w:tcBorders>
            <w:vAlign w:val="center"/>
          </w:tcPr>
          <w:p w14:paraId="1BF5859B">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52F22ACC">
            <w:pPr>
              <w:keepNext w:val="0"/>
              <w:keepLines w:val="0"/>
              <w:suppressLineNumbers w:val="0"/>
              <w:spacing w:before="0" w:beforeAutospacing="0" w:after="0" w:afterAutospacing="0" w:line="360" w:lineRule="auto"/>
              <w:ind w:left="0" w:right="0" w:firstLine="420" w:firstLineChars="200"/>
              <w:rPr>
                <w:rFonts w:hint="eastAsia" w:hAnsi="宋体" w:eastAsia="宋体"/>
                <w:bCs/>
                <w:lang w:eastAsia="zh-CN"/>
              </w:rPr>
            </w:pPr>
            <w:r>
              <w:rPr>
                <w:rFonts w:hint="eastAsia" w:hAnsi="宋体"/>
                <w:bCs/>
                <w:lang w:val="en-US" w:eastAsia="zh-CN"/>
              </w:rPr>
              <w:t>简述</w:t>
            </w:r>
            <w:r>
              <w:rPr>
                <w:rFonts w:hint="eastAsia" w:hAnsi="宋体"/>
                <w:bCs/>
                <w:lang w:eastAsia="zh-CN"/>
              </w:rPr>
              <w:t>简笔画的特点。</w:t>
            </w:r>
          </w:p>
        </w:tc>
        <w:tc>
          <w:tcPr>
            <w:tcW w:w="1366" w:type="dxa"/>
            <w:tcBorders>
              <w:tl2br w:val="nil"/>
              <w:tr2bl w:val="nil"/>
            </w:tcBorders>
            <w:vAlign w:val="center"/>
          </w:tcPr>
          <w:p w14:paraId="5E35DC16">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27273DA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3A1854D8">
            <w:pPr>
              <w:keepNext w:val="0"/>
              <w:keepLines w:val="0"/>
              <w:suppressLineNumbers w:val="0"/>
              <w:spacing w:before="0" w:beforeAutospacing="0" w:after="0" w:afterAutospacing="0" w:line="264" w:lineRule="auto"/>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5C379299">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4"/>
              </w:rPr>
            </w:pPr>
            <w:r>
              <w:rPr>
                <w:rFonts w:hint="default" w:ascii="Times New Roman" w:hAnsi="Times New Roman"/>
                <w:szCs w:val="24"/>
              </w:rPr>
              <w:t>（40</w:t>
            </w:r>
            <w:r>
              <w:rPr>
                <w:rFonts w:hint="eastAsia" w:ascii="Times New Roman" w:hAnsi="Times New Roman"/>
                <w:szCs w:val="24"/>
              </w:rPr>
              <w:t>min）</w:t>
            </w:r>
          </w:p>
        </w:tc>
        <w:tc>
          <w:tcPr>
            <w:tcW w:w="5807" w:type="dxa"/>
            <w:tcBorders>
              <w:tl2br w:val="nil"/>
              <w:tr2bl w:val="nil"/>
            </w:tcBorders>
            <w:vAlign w:val="center"/>
          </w:tcPr>
          <w:p w14:paraId="6B9C5A43">
            <w:pPr>
              <w:keepNext w:val="0"/>
              <w:keepLines w:val="0"/>
              <w:widowControl w:val="0"/>
              <w:suppressLineNumbers w:val="0"/>
              <w:spacing w:before="0" w:beforeAutospacing="0" w:after="0" w:afterAutospacing="0" w:line="360" w:lineRule="auto"/>
              <w:ind w:left="0" w:right="0"/>
              <w:jc w:val="both"/>
              <w:rPr>
                <w:rFonts w:hint="default" w:ascii="宋体" w:hAnsi="宋体" w:cs="宋体"/>
                <w:b/>
                <w:bCs w:val="0"/>
                <w:color w:val="0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展示细胞膜的物质转运功能（</w:t>
            </w:r>
            <w:r>
              <w:rPr>
                <w:rFonts w:hint="eastAsia" w:ascii="宋体" w:hAnsi="宋体" w:cs="宋体"/>
                <w:b w:val="0"/>
                <w:bCs/>
                <w:color w:val="C00000"/>
                <w:kern w:val="2"/>
                <w:sz w:val="21"/>
                <w:szCs w:val="21"/>
                <w:lang w:val="en-US" w:eastAsia="zh-CN" w:bidi="ar"/>
              </w:rPr>
              <w:t>二</w:t>
            </w:r>
            <w:r>
              <w:rPr>
                <w:rFonts w:hint="eastAsia" w:ascii="宋体" w:hAnsi="宋体" w:eastAsia="宋体" w:cs="宋体"/>
                <w:b w:val="0"/>
                <w:bCs/>
                <w:color w:val="C00000"/>
                <w:kern w:val="2"/>
                <w:sz w:val="21"/>
                <w:szCs w:val="21"/>
                <w:lang w:val="en-US" w:eastAsia="zh-CN" w:bidi="ar"/>
              </w:rPr>
              <w:t>）</w:t>
            </w:r>
          </w:p>
          <w:p w14:paraId="1EC77A5A">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三、主动转运</w:t>
            </w:r>
          </w:p>
          <w:p w14:paraId="069E5B0A">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主动转运（active transport）是指某些物质在膜蛋白的帮助下，由细胞代谢提供能量而进行的逆浓度梯度和（或）电位梯度的跨膜装运。根据膜蛋白是否直接消耗能量，主动转运可分为原发性主动转运和继发性主动转运，一般所说的主动转运是指原发性主动转运。帮助离子进行主动转运的膜蛋白被称为离子泵，有钠 - 钾泵、钙泵、质子泵等等。离子泵的化学本质是 ATP 酶，可分解细胞内的 ATP，提供能量。</w:t>
            </w:r>
          </w:p>
          <w:p w14:paraId="6B4F4CF9">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钠 - 钾泵简称钠泵（sodium pump），即 Na+-K+ 依赖式 ATP 酶。当细胞内 Na+ 浓度增高和（或）细胞外 K+ 浓度增高时，钠泵被激活，此时，分解 ATP 释放能量，并借此能量使膜外的 K+ 逆浓度差进入膜内，同时使膜内的 Na+ 逆浓度差移出膜外。</w:t>
            </w:r>
          </w:p>
          <w:p w14:paraId="71F4D5B8">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一般情况下，每分解一分子 ATP，可以将 3 个 Na+ 移出膜外，同时将 2 个 K+ 移入膜内，从而维持细胞膜外高钠膜内高钾的状态。</w:t>
            </w:r>
          </w:p>
          <w:p w14:paraId="3D95ECB6">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某些物质逆浓度差进行转运时，所需的能量并非由 ATP 直接供给，而是先由细胞膜上的钠泵造成膜外高 Na+ 的状态，当 Na+ 顺浓度差进入细胞时释放的能量将这些物质逆浓度差进行转运， 这种间接利用 ATP 分解提供的能量的转运方式称为继发性主动转运。 如小肠黏膜上皮细胞对葡萄糖和氨基酸的吸收、肾小管上皮细胞对葡萄糖和氨基酸的重吸收等。</w:t>
            </w:r>
          </w:p>
          <w:p w14:paraId="1CD57438">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钠 - 钾泵的生理意义主要表现在：①钠泵活动维持细胞内外钠、钾离子分布不均衡的状态，是可兴奋细胞产生生物电的基础。②为继发性主动转运提供能量来源。③维持细胞内晶体渗透压的稳定，防止细胞水肿。④为细胞代谢提供必需条件。钠泵活动造成的膜内高 K+ 是许多代谢反应的必需条件。</w:t>
            </w:r>
          </w:p>
          <w:p w14:paraId="73B0A13D">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2" w:firstLineChars="200"/>
              <w:jc w:val="both"/>
              <w:textAlignment w:val="auto"/>
              <w:rPr>
                <w:rFonts w:hint="default" w:ascii="宋体" w:hAnsi="宋体" w:eastAsia="宋体" w:cs="宋体"/>
                <w:b/>
                <w:bCs w:val="0"/>
                <w:color w:val="000000"/>
                <w:kern w:val="2"/>
                <w:sz w:val="21"/>
                <w:szCs w:val="21"/>
                <w:lang w:val="en-US" w:eastAsia="zh-CN" w:bidi="ar"/>
              </w:rPr>
            </w:pPr>
            <w:r>
              <w:rPr>
                <w:rFonts w:hint="default" w:ascii="宋体" w:hAnsi="宋体" w:eastAsia="宋体" w:cs="宋体"/>
                <w:b/>
                <w:bCs w:val="0"/>
                <w:color w:val="000000"/>
                <w:kern w:val="2"/>
                <w:sz w:val="21"/>
                <w:szCs w:val="21"/>
                <w:lang w:val="en-US" w:eastAsia="zh-CN" w:bidi="ar"/>
              </w:rPr>
              <w:t>四、膜泡运输</w:t>
            </w:r>
          </w:p>
          <w:p w14:paraId="5C265F68">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以上描述的跨膜转运的物质都是小分子物质，而在新陈代谢的过程中所需要的大分子或团块状物质，由于分子量大，无法直接穿过细胞膜，而是通过细胞膜本身一系列更为复杂的变形吞吐活动来完成，这些过程需要细胞提供能量。</w:t>
            </w:r>
          </w:p>
          <w:p w14:paraId="3BF2ED2E">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default" w:ascii="宋体" w:hAnsi="宋体" w:eastAsia="宋体" w:cs="宋体"/>
                <w:b w:val="0"/>
                <w:bCs/>
                <w:color w:val="000000"/>
                <w:kern w:val="2"/>
                <w:sz w:val="21"/>
                <w:szCs w:val="21"/>
                <w:lang w:val="en-US" w:eastAsia="zh-CN" w:bidi="ar"/>
              </w:rPr>
            </w:pPr>
            <w:r>
              <w:rPr>
                <w:rFonts w:hint="default" w:ascii="宋体" w:hAnsi="宋体" w:eastAsia="宋体" w:cs="宋体"/>
                <w:b w:val="0"/>
                <w:bCs/>
                <w:color w:val="000000"/>
                <w:kern w:val="2"/>
                <w:sz w:val="21"/>
                <w:szCs w:val="21"/>
                <w:lang w:val="en-US" w:eastAsia="zh-CN" w:bidi="ar"/>
              </w:rPr>
              <w:t>1. 入胞　又称胞吞（endocytosis），指大分子或物质团块进入细胞的过程。如细菌、病毒、大分子营养物质、血浆脂蛋白等。若进入细胞的物质是固态的，称为吞噬；若是液态的物质，则称为吞饮。</w:t>
            </w:r>
          </w:p>
          <w:p w14:paraId="161F8BC0">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bCs/>
                <w:color w:val="538135"/>
                <w:kern w:val="2"/>
                <w:sz w:val="21"/>
                <w:szCs w:val="21"/>
                <w:lang w:val="en-US" w:eastAsia="zh-CN" w:bidi="ar"/>
              </w:rPr>
            </w:pPr>
            <w:r>
              <w:rPr>
                <w:rFonts w:hint="default" w:ascii="宋体" w:hAnsi="宋体" w:eastAsia="宋体" w:cs="宋体"/>
                <w:b w:val="0"/>
                <w:bCs/>
                <w:color w:val="000000"/>
                <w:kern w:val="2"/>
                <w:sz w:val="21"/>
                <w:szCs w:val="21"/>
                <w:lang w:val="en-US" w:eastAsia="zh-CN" w:bidi="ar"/>
              </w:rPr>
              <w:t>2. 出胞　又称胞吐（exocytosis），指大分子物质排出细胞的过程，主要见于细胞的分泌。如内分泌细胞分泌激素、神经末梢释放递质、消化腺细胞分泌消化酶等。</w:t>
            </w:r>
          </w:p>
          <w:p w14:paraId="3F58A68F">
            <w:pPr>
              <w:keepNext w:val="0"/>
              <w:keepLines w:val="0"/>
              <w:widowControl w:val="0"/>
              <w:suppressLineNumbers w:val="0"/>
              <w:spacing w:before="0" w:beforeAutospacing="0" w:after="0" w:afterAutospacing="0" w:line="360" w:lineRule="auto"/>
              <w:ind w:left="0" w:right="0"/>
              <w:jc w:val="both"/>
              <w:rPr>
                <w:rFonts w:hint="default" w:ascii="Times New Roman" w:hAnsi="Times New Roman"/>
                <w:szCs w:val="24"/>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645DB68A">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通过教师讲解，了解</w:t>
            </w:r>
            <w:r>
              <w:rPr>
                <w:rFonts w:hint="eastAsia" w:ascii="Times New Roman" w:hAnsi="Times New Roman"/>
                <w:b/>
                <w:szCs w:val="24"/>
                <w:lang w:val="en-US" w:eastAsia="zh-CN"/>
              </w:rPr>
              <w:t>细胞膜的物质转运功能（二）的基本理论知</w:t>
            </w:r>
            <w:r>
              <w:rPr>
                <w:rFonts w:hint="eastAsia" w:ascii="Times New Roman" w:hAnsi="Times New Roman"/>
                <w:b/>
                <w:szCs w:val="24"/>
              </w:rPr>
              <w:t>识。</w:t>
            </w:r>
          </w:p>
        </w:tc>
      </w:tr>
      <w:tr w14:paraId="7FA1587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7FDB0684">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564E92C1">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eastAsia" w:ascii="Times New Roman" w:hAnsi="Times New Roman" w:cs="Times New Roman"/>
                <w:kern w:val="2"/>
                <w:sz w:val="21"/>
                <w:szCs w:val="21"/>
                <w:lang w:val="en-US" w:eastAsia="zh-CN" w:bidi="ar"/>
              </w:rPr>
              <w:t>3</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00DC0D02">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50942F20">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宋体" w:hAnsi="宋体" w:eastAsia="宋体" w:cs="宋体"/>
                <w:b/>
                <w:bCs w:val="0"/>
                <w:kern w:val="2"/>
                <w:sz w:val="21"/>
                <w:szCs w:val="21"/>
                <w:lang w:val="en-US" w:eastAsia="zh-CN" w:bidi="ar"/>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cs="宋体"/>
                <w:b/>
                <w:bCs w:val="0"/>
                <w:kern w:val="0"/>
                <w:sz w:val="21"/>
                <w:szCs w:val="21"/>
                <w:lang w:val="en-US" w:eastAsia="zh-CN" w:bidi="ar"/>
              </w:rPr>
              <w:t>细胞膜的物质转运功能</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二</w:t>
            </w:r>
            <w:r>
              <w:rPr>
                <w:rFonts w:hint="eastAsia" w:ascii="宋体" w:hAnsi="宋体" w:eastAsia="宋体" w:cs="宋体"/>
                <w:b/>
                <w:bCs w:val="0"/>
                <w:kern w:val="0"/>
                <w:sz w:val="21"/>
                <w:szCs w:val="21"/>
                <w:lang w:val="en-US" w:eastAsia="zh-CN" w:bidi="ar"/>
              </w:rPr>
              <w:t>）</w:t>
            </w:r>
            <w:r>
              <w:rPr>
                <w:rFonts w:hint="eastAsia" w:ascii="宋体" w:hAnsi="宋体" w:cs="宋体"/>
                <w:b/>
                <w:bCs w:val="0"/>
                <w:kern w:val="0"/>
                <w:sz w:val="21"/>
                <w:szCs w:val="21"/>
                <w:lang w:val="en-US" w:eastAsia="zh-CN" w:bidi="ar"/>
              </w:rPr>
              <w:t>，让学生知道当细胞与周围环境进行物质交换时，细胞膜起着重要的转运作用</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6079AA52">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55FDCF3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3139D13A">
            <w:pPr>
              <w:keepNext w:val="0"/>
              <w:keepLines w:val="0"/>
              <w:widowControl w:val="0"/>
              <w:suppressLineNumbers w:val="0"/>
              <w:spacing w:before="0" w:beforeAutospacing="0" w:after="0" w:afterAutospacing="0" w:line="264" w:lineRule="auto"/>
              <w:ind w:left="8" w:leftChars="0" w:right="0" w:rightChars="0" w:hanging="8" w:firstLine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b w:val="0"/>
                <w:bCs w:val="0"/>
                <w:kern w:val="2"/>
                <w:sz w:val="21"/>
                <w:szCs w:val="21"/>
                <w:lang w:val="en-US" w:eastAsia="zh-CN" w:bidi="ar"/>
              </w:rPr>
              <w:t>（</w:t>
            </w:r>
            <w:r>
              <w:rPr>
                <w:rFonts w:hint="eastAsia" w:ascii="Times New Roman" w:hAnsi="Times New Roman" w:cs="Times New Roman"/>
                <w:b w:val="0"/>
                <w:bCs w:val="0"/>
                <w:kern w:val="2"/>
                <w:sz w:val="21"/>
                <w:szCs w:val="21"/>
                <w:lang w:val="en-US" w:eastAsia="zh-CN" w:bidi="ar"/>
              </w:rPr>
              <w:t>2</w:t>
            </w:r>
            <w:r>
              <w:rPr>
                <w:rFonts w:hint="default" w:ascii="Times New Roman" w:hAnsi="Times New Roman" w:eastAsia="宋体" w:cs="Times New Roman"/>
                <w:b w:val="0"/>
                <w:bCs w:val="0"/>
                <w:kern w:val="2"/>
                <w:sz w:val="21"/>
                <w:szCs w:val="21"/>
                <w:lang w:val="en-US" w:eastAsia="zh-CN" w:bidi="ar"/>
              </w:rPr>
              <w:t>min</w:t>
            </w:r>
            <w:r>
              <w:rPr>
                <w:rFonts w:hint="eastAsia" w:ascii="宋体" w:hAnsi="宋体" w:eastAsia="宋体" w:cs="宋体"/>
                <w:b w:val="0"/>
                <w:bCs w:val="0"/>
                <w:kern w:val="2"/>
                <w:sz w:val="21"/>
                <w:szCs w:val="21"/>
                <w:lang w:val="en-US" w:eastAsia="zh-CN" w:bidi="ar"/>
              </w:rPr>
              <w:t>）</w:t>
            </w:r>
          </w:p>
        </w:tc>
        <w:tc>
          <w:tcPr>
            <w:tcW w:w="5807" w:type="dxa"/>
            <w:tcBorders>
              <w:tl2br w:val="nil"/>
              <w:tr2bl w:val="nil"/>
            </w:tcBorders>
            <w:vAlign w:val="center"/>
          </w:tcPr>
          <w:p w14:paraId="3071BE30">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43C8449D">
            <w:pPr>
              <w:keepNext w:val="0"/>
              <w:keepLines w:val="0"/>
              <w:widowControl w:val="0"/>
              <w:suppressLineNumbers w:val="0"/>
              <w:spacing w:before="0" w:beforeAutospacing="0" w:after="0" w:afterAutospacing="0" w:line="360" w:lineRule="auto"/>
              <w:ind w:left="0" w:leftChars="0" w:right="0" w:rightChars="0" w:firstLine="420" w:firstLineChars="200"/>
              <w:jc w:val="both"/>
              <w:rPr>
                <w:rFonts w:hint="eastAsia" w:ascii="Calibri" w:hAnsi="宋体" w:eastAsia="宋体" w:cs="Times New Roman"/>
                <w:bCs/>
                <w:kern w:val="2"/>
                <w:sz w:val="21"/>
                <w:szCs w:val="21"/>
                <w:lang w:val="en-US" w:eastAsia="zh-CN" w:bidi="ar-SA"/>
              </w:rPr>
            </w:pPr>
            <w:r>
              <w:rPr>
                <w:rFonts w:hint="eastAsia" w:ascii="宋体" w:hAnsi="宋体" w:cs="宋体"/>
                <w:bCs/>
                <w:kern w:val="2"/>
                <w:sz w:val="21"/>
                <w:szCs w:val="21"/>
                <w:lang w:val="en-US" w:eastAsia="zh-CN" w:bidi="ar"/>
              </w:rPr>
              <w:t>细胞膜的四种跨膜物质转运方式及特点。</w:t>
            </w:r>
          </w:p>
        </w:tc>
        <w:tc>
          <w:tcPr>
            <w:tcW w:w="1366" w:type="dxa"/>
            <w:tcBorders>
              <w:tl2br w:val="nil"/>
              <w:tr2bl w:val="nil"/>
            </w:tcBorders>
            <w:vAlign w:val="center"/>
          </w:tcPr>
          <w:p w14:paraId="48C1AFD3">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val="0"/>
                <w:bCs/>
                <w:kern w:val="2"/>
                <w:sz w:val="21"/>
                <w:szCs w:val="21"/>
                <w:lang w:val="en-US" w:eastAsia="zh-CN" w:bidi="ar"/>
              </w:rPr>
              <w:t>通过课后练习，使学生巩固所学新知识</w:t>
            </w:r>
          </w:p>
        </w:tc>
      </w:tr>
      <w:tr w14:paraId="01BC67A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47ABE606">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5DF38021">
            <w:pPr>
              <w:keepNext w:val="0"/>
              <w:keepLines w:val="0"/>
              <w:widowControl/>
              <w:suppressLineNumbers w:val="0"/>
              <w:spacing w:before="0" w:beforeAutospacing="0" w:after="0" w:afterAutospacing="0" w:line="360" w:lineRule="auto"/>
              <w:ind w:left="0" w:right="0"/>
              <w:jc w:val="left"/>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展示细胞的跨膜信号转导功能</w:t>
            </w:r>
          </w:p>
          <w:p w14:paraId="6FF86B2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一、受体的概念和特征</w:t>
            </w:r>
          </w:p>
          <w:p w14:paraId="39376DA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凡是能与信号分子特异性结合，并引发细胞发生特定生理效应的特殊蛋白质称为受体（receptor）。受体可以存在于细胞膜、细胞质和细胞核内，但是通常提到的受体指的是膜受体。</w:t>
            </w:r>
          </w:p>
          <w:p w14:paraId="23278EC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受体可以对某些特定的化学物质进行识别并与之结合，结合后能激活细胞内的多种酶系，从而引起特定的生理效应。在此过程中，作为信号分子的化学物质并未进到细胞膜内，它所携带的信息通过受体中介转导到细胞内。</w:t>
            </w:r>
          </w:p>
          <w:p w14:paraId="08C3F6F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受体具有以下特征：①特异性，受体只能与特定的化学物质结合，使信息传递准确、可靠；②饱和性，膜受体的数量是有限的，它与化学物质结合的能力也是有限的；③可逆性，化学物质与受体的结合是可逆的，既能结合又能分离。</w:t>
            </w:r>
          </w:p>
          <w:p w14:paraId="21E350E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二、跨膜信号转导的方式</w:t>
            </w:r>
          </w:p>
          <w:p w14:paraId="620351E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（一）离子通道耦联受体介导的跨膜信号转导</w:t>
            </w:r>
          </w:p>
          <w:p w14:paraId="0423899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化学门控性通道　这类通道蛋白质本身就是受体，所以又称为通道型受体。一旦受体与特定的化学物质结合，通道即开放，使某类离子顺浓度差流动，从而引发特定的生理效应。如神经 - 肌接头处的信号转导。</w:t>
            </w:r>
          </w:p>
          <w:p w14:paraId="66CE7AD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电压门控性通道　这类通道蛋白质分子结构中存在着对电位变化敏感的区域，一旦跨膜电位发生变化，通道即会开放，从而引起离子的跨膜转运，使信号转导进入细胞内。这类通道广泛存在于神经细胞膜、心肌细胞膜和骨骼肌细胞膜上。</w:t>
            </w:r>
          </w:p>
          <w:p w14:paraId="7496BA7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机械门控性通道　机械性刺激信号能影响此类通道蛋白质功能状态的改变，从而完成细胞跨膜信号的转导。如内耳毛细胞受刺激后出现的感受器电位就是此类信号转导。由离子通道耦联受体介导的跨膜信号转导的主要特点是作用部位精确，速度快。</w:t>
            </w:r>
          </w:p>
          <w:p w14:paraId="3F313A5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（二）G 蛋白耦联受体介导的跨膜信号转导</w:t>
            </w:r>
          </w:p>
          <w:p w14:paraId="409C74E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G 蛋白耦联受体介导的跨膜信号转导是通过膜受体、G 蛋白、G 蛋白效应器和第二信使等一系列存在于细胞膜和细胞质中的信号分子的共同活动而实现的。</w:t>
            </w:r>
          </w:p>
          <w:p w14:paraId="0FB279B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（三）酶耦联受体介导的跨膜信号转导</w:t>
            </w:r>
          </w:p>
          <w:p w14:paraId="346F66B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此类受体分子既有受体的作用又有酶的特性，即它们既存在与信号分子结合的位点，又具有酶的催化性，通过它们的这些双重作用来完成信号的转导称为酶耦联受体介导的跨膜信号转导。体内大部分生长因子和一部分激素（如胰岛素）就是通过这种方式进行信号转导的。</w:t>
            </w:r>
          </w:p>
          <w:p w14:paraId="73E6778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12077191">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教师通过</w:t>
            </w:r>
            <w:r>
              <w:rPr>
                <w:rFonts w:hint="eastAsia" w:ascii="Times New Roman" w:hAnsi="Times New Roman"/>
                <w:b/>
                <w:szCs w:val="24"/>
                <w:lang w:eastAsia="zh-CN"/>
              </w:rPr>
              <w:t>细胞的跨膜信号转导功能展示</w:t>
            </w:r>
            <w:r>
              <w:rPr>
                <w:rFonts w:hint="eastAsia" w:ascii="Times New Roman" w:hAnsi="Times New Roman"/>
                <w:b/>
                <w:szCs w:val="24"/>
              </w:rPr>
              <w:t>，</w:t>
            </w:r>
            <w:r>
              <w:rPr>
                <w:rFonts w:hint="eastAsia" w:ascii="Times New Roman" w:hAnsi="Times New Roman"/>
                <w:b/>
                <w:szCs w:val="24"/>
                <w:lang w:eastAsia="zh-CN"/>
              </w:rPr>
              <w:t>让</w:t>
            </w:r>
            <w:r>
              <w:rPr>
                <w:rFonts w:hint="eastAsia" w:ascii="Times New Roman" w:hAnsi="Times New Roman"/>
                <w:b/>
                <w:szCs w:val="24"/>
              </w:rPr>
              <w:t>学生了解</w:t>
            </w:r>
            <w:r>
              <w:rPr>
                <w:rFonts w:hint="eastAsia" w:ascii="Times New Roman" w:hAnsi="Times New Roman"/>
                <w:b/>
                <w:szCs w:val="24"/>
                <w:lang w:eastAsia="zh-CN"/>
              </w:rPr>
              <w:t>细胞的跨膜信号转导功能</w:t>
            </w:r>
            <w:r>
              <w:rPr>
                <w:rFonts w:hint="eastAsia" w:ascii="Times New Roman" w:hAnsi="Times New Roman"/>
                <w:b/>
                <w:szCs w:val="24"/>
              </w:rPr>
              <w:t>的基本理论知识。</w:t>
            </w:r>
          </w:p>
        </w:tc>
      </w:tr>
      <w:tr w14:paraId="298A123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377B465A">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4D8495D7">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127C0FF0">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245DF0F5">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cs="宋体"/>
                <w:b/>
                <w:bCs w:val="0"/>
                <w:kern w:val="0"/>
                <w:sz w:val="21"/>
                <w:szCs w:val="21"/>
                <w:lang w:val="en-US" w:eastAsia="zh-CN" w:bidi="ar"/>
              </w:rPr>
              <w:t>细胞的跨膜信号转导功能，跨膜信号转导中，在细胞间传递信息的物质称为信号分子，如激素、神经递质等，而接收信号的物质称为受体。</w:t>
            </w:r>
          </w:p>
        </w:tc>
        <w:tc>
          <w:tcPr>
            <w:tcW w:w="1366" w:type="dxa"/>
            <w:tcBorders>
              <w:tl2br w:val="nil"/>
              <w:tr2bl w:val="nil"/>
            </w:tcBorders>
            <w:vAlign w:val="center"/>
          </w:tcPr>
          <w:p w14:paraId="735A36B5">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24EFFEB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70BAA7ED">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2EE2A595">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4770FE7F">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简述跨膜信号转导的方式</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32F2E5FC">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65D0F53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0655B085">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58265778">
            <w:pPr>
              <w:keepNext w:val="0"/>
              <w:keepLines w:val="0"/>
              <w:widowControl/>
              <w:suppressLineNumbers w:val="0"/>
              <w:spacing w:before="0" w:beforeAutospacing="0" w:after="0" w:afterAutospacing="0" w:line="360" w:lineRule="auto"/>
              <w:ind w:left="0" w:right="0"/>
              <w:jc w:val="left"/>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展示细胞的生物电现象</w:t>
            </w:r>
          </w:p>
          <w:p w14:paraId="23C4666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一、静息电位及其产生机制</w:t>
            </w:r>
          </w:p>
          <w:p w14:paraId="7DDDEA5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（一）静息电位的概念</w:t>
            </w:r>
          </w:p>
          <w:p w14:paraId="32A1E22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静息电位（resting potential，RP）是指细胞处于静息状态下，细胞膜两侧存在的电位差。</w:t>
            </w:r>
          </w:p>
          <w:p w14:paraId="68D5C1D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将两个微电极与示波器相连，当两个微电极都位于细胞膜外表面或内表面时，示波器上的光点作水平扫描，表示细胞膜外表面或内表面上的任何两点之间不存在电位差。当有一个微电极刺入细胞内，而另一个仍在细胞膜外时，示波器上的光点迅速从零电位下降到一定水平并维持在这一水平，说明细胞膜两侧存在着稳定的电位差，并且膜内电位比膜外低。这个存在于细胞膜两侧的稳定电位差即为静息电位。</w:t>
            </w:r>
          </w:p>
          <w:p w14:paraId="5B2B7B8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机体细胞静息时膜两侧的电荷绝大多数都是呈内负外正的分布。大多数细胞静息电位在 -10 ～ -100 mV 之间，如哺乳动物的肌肉和神经纤维细胞为 -70 ～ -90 mV，而人的红细胞为 -10 mV 等。一般而言，静息电位的大小主要与细胞的结构有关，只要细胞保持正常的新陈代谢，静息电位就会维持在某一恒定的水平。</w:t>
            </w:r>
          </w:p>
          <w:p w14:paraId="3B4A4C9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静息电位的大小指的是静息电位的绝对值的大小，如从 -70 mV 变化到 -90 mV 称为静息电位的增大，反之为变小。在生理学中，通常把细胞膜两侧内负外正的状态称为极化（polarization），细胞内负值减小的过程称为去极化（depolarization），把细胞膜两侧内正外负的状态称为反极化（reversepolarization），细胞去极化后向着静息电位的方向恢复的过程称为复极化（repolarization），细胞内负值大于静息电位称为超极化（hyperpolarization）。</w:t>
            </w:r>
          </w:p>
          <w:p w14:paraId="00192AB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（二）静息电位的产生机制</w:t>
            </w:r>
          </w:p>
          <w:p w14:paraId="6B91FF3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静息电位产生的前提条件　静息电位的产生有两个前提条件：一是细胞内外离子分布存在浓度差，在安静状态时，在膜内的 K+ 浓度是膜外的 30 倍，而 Na+ 在膜外的浓度是膜内的 10 倍左右；二是细胞膜在不同的状态下对离子的通透性不同，安静状态下，细胞膜主要对 K+ 通透性较大，对 Na+、Cl- 通透性很小，而对蛋白质负离子不通透。</w:t>
            </w:r>
          </w:p>
          <w:p w14:paraId="362B34F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静息电位的产生机制　如上所述，安静状态时，细胞膜内外存在 K+ 的浓度差，并且细胞膜对 K+ 的通透性大，因此 K+ 在浓度差的驱使下，从细胞膜内向细胞膜外扩散，即 K+ 外流。带正电荷的 K+ 外流时会吸引带负电荷的蛋白质同行，但此时的细胞膜对大分子的蛋白质没有通透性，所以这些蛋白质分子会被阻隔在细胞膜内表面，而外流的 K+在蛋白质分子的吸引下排列在膜的外表面，形成了内负外正的电位差。可见，K+ 外流是静息电位形成的基础。</w:t>
            </w:r>
          </w:p>
          <w:p w14:paraId="06AA0D9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静息电位是一个稳定的电位差。这是因为 K+ 外流形成内负外正的 K+ 扩散电位，扩散电位形成的跨膜电场阻止带正电荷的 K+ 外流。随着 K+ 逐渐外流，浓度差会逐渐减弱，而跨膜电场会逐渐增强，当促使 K+ 外流的浓度差形成的扩散动力与阻止 K+ 外流的跨膜电场达到平衡时，K+ 的净通量等于零，即达到稳定的静息电位。由此可见，静息电位主要是 K+ 外流达到平衡时的电位，所以又称为 K+ 的平衡电位。</w:t>
            </w:r>
          </w:p>
          <w:p w14:paraId="7DE28E1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二、动作电位及其产生机制</w:t>
            </w:r>
          </w:p>
          <w:p w14:paraId="1733E1C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（一）动作电位的概念</w:t>
            </w:r>
          </w:p>
          <w:p w14:paraId="72C79CC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动作电位（action potential，AP）是指可兴奋细胞在受到有效刺激后，在静息电位的基础上，细胞膜产生的一次快速、可传播的电位变化，动作电位是细胞兴奋的标志。</w:t>
            </w:r>
          </w:p>
          <w:p w14:paraId="481DAD6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（二）动作电位的形成过程</w:t>
            </w:r>
          </w:p>
          <w:p w14:paraId="001F764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下面以神经纤维为例，描述动作电位的形成过程。在给神经纤维一次有效的刺激后，示波器上会显示出一个动作电位的波形，即在受刺激局部的细胞膜上产生了一次快速、连续的电位变化。该电位变化主要由两部分构成：锋电位和后电位。</w:t>
            </w:r>
          </w:p>
          <w:p w14:paraId="59E7E96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锋电位的进展非常迅速，仅为 1.0 ms 左右。当细胞受到有效刺激后，首先静息电位减少到 0 mV，进而使膜内电位变成正电位，即由 -70 mV 到 0 mV 再到 +35 mV，此为锋电位的上升支（去极化时相）；到达顶点后，曲线迅速下降，直到接近静息电位水平，此为锋电位的下降支（复极化时相）。上升支中从 0 mV 到 +35 mV 变化的阶段称为超射。</w:t>
            </w:r>
          </w:p>
          <w:p w14:paraId="176541D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锋电位之后膜电位的经历微小而缓慢的波动，称为后电位。后电位结束后细胞完全恢复到静息电位水平。</w:t>
            </w:r>
          </w:p>
          <w:p w14:paraId="515DEBC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（三）动作电位的产生机制</w:t>
            </w:r>
          </w:p>
          <w:p w14:paraId="159DE9A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动作电位的产生同样用离子流学说来解释，其产生的前提条件与静息电位相同。下面分两个阶段来阐述动作电位的产生机制。</w:t>
            </w:r>
          </w:p>
          <w:p w14:paraId="2931194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去极化过程　当细胞受到刺激时，受刺激的局部细胞膜上少量 Na+ 通道开放，此时 Na+ 会顺着浓度差少量内流，引起细胞膜去极化，当去极化达到某一程度时，膜上大量 Na+ 通道开放，于是细胞外的大量 Na+ 顺浓度差和电位差向细胞内迅速扩散，导致膜内负电位减小，直至膜内电位比膜外高，形成内正外负的反极化状态。当促使 Na+ 内流的浓度差和阻止 Na+ 内流的电位差，这两种拮抗力量相等时，Na+ 的净内流停止，膜电位达到峰值。因此，可以说动作电位的峰值相当于 Na+ 内流所形成的电 - 化学平衡电位。</w:t>
            </w:r>
          </w:p>
          <w:p w14:paraId="3F166CC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复极化过程　当膜电位达到峰值时，细胞膜的 Na+ 通道迅速关闭，而 K+ 通道开放，于是细胞内的 K+ 顺浓度差向细胞外扩散，导致膜内负电位增大，直至恢复到静息时的数值。</w:t>
            </w:r>
          </w:p>
          <w:p w14:paraId="618DC04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如此一来，一部分 Na+ 在去极化中扩散到细胞内，并有一部分 K+ 在复极过程中扩散到细胞外。这样就激活了 Na+-K+ 依赖式 ATP 酶，即 Na+-K+ 泵，于是钠泵加速运转，将胞内多余的 Na+ 泵出胞外，同时把胞外增多的 K+ 泵进胞内，以恢复静息状态的离子分布，保持细胞的正常兴奋性。</w:t>
            </w:r>
          </w:p>
          <w:p w14:paraId="15462F7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（四）动作电位的特点</w:t>
            </w:r>
          </w:p>
          <w:p w14:paraId="686B4A3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“全或无”现象　动作电位一旦产生就会达到峰值，其幅度不会随着刺激的增强而增大，即动作电位要么不产生（无），一旦产生就会达到最大值（全）。</w:t>
            </w:r>
          </w:p>
          <w:p w14:paraId="42F5EA9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不衰减性传导　动作电位一旦在细胞的某一局部产生，就会以非常快的速度向整个细胞膜扩布，其幅度不会随着传导距离的延长而减小。</w:t>
            </w:r>
          </w:p>
          <w:p w14:paraId="3038570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脉冲式　动作电位不会发生重合或者叠加，它们之间总会存在着一定的间隔而形成有规律的脉冲样图形，这是因为不应期的存在。</w:t>
            </w:r>
          </w:p>
          <w:p w14:paraId="3F1CE7B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三、兴奋的引起及传导</w:t>
            </w:r>
          </w:p>
          <w:p w14:paraId="3AA95DF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（一）兴奋的引起</w:t>
            </w:r>
          </w:p>
          <w:p w14:paraId="14ED0B9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细胞兴奋，本质上就是细胞在刺激的作用下产生动作电位，但并不是所有的刺激都能引起动作电位。当细胞受到刺激时，首先是受刺激局部的细胞膜上少量的 Na+ 通道开放，引起少量的 Na+ 内流，使细胞膜缓慢地去极化。只有当膜去极化达到某一电位值时，才会使大量 Na+ 通道激活，从而引起 Na+ 大量内流，使细胞膜快速去极化，形成动作电位的上升支，即细胞兴奋。我们把能使细胞膜上 Na+ 通道大量开放的临界膜电位称为阈电位（threshold potential，TP）。阈电位的数值通常比静息电位小 10 ～ 20 mV。</w:t>
            </w:r>
          </w:p>
          <w:p w14:paraId="3E063C2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如果刺激造成的电位变化达不到阈电位水平，细胞就不能产生动作电位，仅仅在受刺激局部的细胞膜产生一种幅度较小的去极化反应，称为局部反应（local response），通常由阈下刺激引起。局部反应的特点如下：①不是“全或无”式的，局部反应的大小可随阈下刺激的增强而增大；②可以总和（图 2-9），多个阈下刺激引起的局部反应可在时间上（多个刺激在同一空间连续给予）或空间上（多个刺激在同一时间作用于相邻的部位）形成叠加，一旦叠加达到阈电位水平，即可引起细胞的兴奋；③电位幅度小，呈衰减性传导，其幅度随着传播距离延长而逐渐衰减，甚至消失。</w:t>
            </w:r>
          </w:p>
          <w:p w14:paraId="3ABED89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（二）兴奋的传导</w:t>
            </w:r>
          </w:p>
          <w:p w14:paraId="778D052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动作电位一旦在细胞膜上某一点产生，就会沿着细胞膜不衰减地传遍整个细胞，这一过程称为传导（conduction）。在神经纤维或肌纤维上传导的动作电位称为冲动。</w:t>
            </w:r>
          </w:p>
          <w:p w14:paraId="737AF84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下面以无髓神经纤维为例说明兴奋的传导。当细胞膜某一点受到有效刺激而兴奋时，兴奋部位发生反极化，即膜两侧电荷分布呈现内正外负的状态，这样便在兴奋部位和相邻部位之间出现了电位差，细胞外液和细胞内液都是可以导电的溶液，所以出现了电荷的流动，形成了由正电荷流向负电荷的局部电流。在细胞膜外，电流由未兴奋部位流向兴奋部位，而在膜内，电流由兴奋部位流向未兴奋部位。这样流动的结果，是未兴奋部位的膜内电压升高、膜外电压降低，即引起该部位细胞膜去极化，当去极化达到阈电位时，立刻爆发动作电位。如此持续下去，整个细胞都会兴奋。</w:t>
            </w:r>
          </w:p>
          <w:p w14:paraId="2427BFC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动作电位在无髓纤维上的传导是连续的过程，直到传至神经纤维的末端。但是，在人体内，绝大部分神经纤维都是有髓鞘的，有髓纤维上的局部电流只能在郎飞结之间进行，呈跳跃式传导，速度比无髓纤维快得多。</w:t>
            </w:r>
          </w:p>
          <w:p w14:paraId="0F070F6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四、细胞兴奋后兴奋性的变化</w:t>
            </w:r>
          </w:p>
          <w:p w14:paraId="20137DE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当细胞受到有效刺激产生兴奋时，细胞的兴奋性将发生一系列有规律的周期性变化，依次为绝对不应期（absolute refractory period，ARP）、相对不应期（relative refractory period，RRP）、超常期（supranormal period，SNP）、低常期（subnormal period）。</w:t>
            </w:r>
          </w:p>
          <w:p w14:paraId="43EE741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绝对不应期发生在细胞兴奋初期，在此期，无论多大强度的刺激都无法使细胞再次兴奋，即细胞的兴奋性降为零；相对不应期是在绝对不应期之后，在此期，细胞兴奋性降低，须给予强度大于阈值的刺激方能引起兴奋；在相对不应期之后是超常期，此期细胞的兴奋性高于正常水平，只需阈下刺激强度即可引起细胞的兴奋；之后是低常期，此期持续时间较长，兴奋性低于正常水平，需要阈上刺激才能引起细胞的再次兴奋。</w:t>
            </w:r>
          </w:p>
          <w:p w14:paraId="52B5064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49CD74BB">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教师通过</w:t>
            </w:r>
            <w:r>
              <w:rPr>
                <w:rFonts w:hint="eastAsia" w:ascii="Times New Roman" w:hAnsi="Times New Roman"/>
                <w:b/>
                <w:szCs w:val="24"/>
                <w:lang w:eastAsia="zh-CN"/>
              </w:rPr>
              <w:t>细胞的生物电现象展示</w:t>
            </w:r>
            <w:r>
              <w:rPr>
                <w:rFonts w:hint="eastAsia" w:ascii="Times New Roman" w:hAnsi="Times New Roman"/>
                <w:b/>
                <w:szCs w:val="24"/>
              </w:rPr>
              <w:t>，</w:t>
            </w:r>
            <w:r>
              <w:rPr>
                <w:rFonts w:hint="eastAsia" w:ascii="Times New Roman" w:hAnsi="Times New Roman"/>
                <w:b/>
                <w:szCs w:val="24"/>
                <w:lang w:eastAsia="zh-CN"/>
              </w:rPr>
              <w:t>让</w:t>
            </w:r>
            <w:r>
              <w:rPr>
                <w:rFonts w:hint="eastAsia" w:ascii="Times New Roman" w:hAnsi="Times New Roman"/>
                <w:b/>
                <w:szCs w:val="24"/>
              </w:rPr>
              <w:t>学生了解</w:t>
            </w:r>
            <w:r>
              <w:rPr>
                <w:rFonts w:hint="eastAsia" w:ascii="Times New Roman" w:hAnsi="Times New Roman"/>
                <w:b/>
                <w:szCs w:val="24"/>
                <w:lang w:eastAsia="zh-CN"/>
              </w:rPr>
              <w:t>细胞的生物电现象</w:t>
            </w:r>
            <w:r>
              <w:rPr>
                <w:rFonts w:hint="eastAsia" w:ascii="Times New Roman" w:hAnsi="Times New Roman"/>
                <w:b/>
                <w:szCs w:val="24"/>
              </w:rPr>
              <w:t>的基本理论知识。</w:t>
            </w:r>
          </w:p>
        </w:tc>
      </w:tr>
      <w:tr w14:paraId="7FE98CE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3F3680F1">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20DE8978">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2AEA32AB">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45BD552A">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cs="宋体"/>
                <w:b/>
                <w:bCs w:val="0"/>
                <w:kern w:val="0"/>
                <w:sz w:val="21"/>
                <w:szCs w:val="21"/>
                <w:lang w:val="en-US" w:eastAsia="zh-CN" w:bidi="ar"/>
              </w:rPr>
              <w:t>细胞的生物电现象，细胞在进行生命活动时都伴有电现象。</w:t>
            </w:r>
          </w:p>
        </w:tc>
        <w:tc>
          <w:tcPr>
            <w:tcW w:w="1366" w:type="dxa"/>
            <w:tcBorders>
              <w:tl2br w:val="nil"/>
              <w:tr2bl w:val="nil"/>
            </w:tcBorders>
            <w:vAlign w:val="center"/>
          </w:tcPr>
          <w:p w14:paraId="21A2A0DA">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704CD7A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5C5B8BBA">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5AD26433">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2EE20E5E">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简述兴奋在同一细胞上传导及其特点。</w:t>
            </w:r>
          </w:p>
        </w:tc>
        <w:tc>
          <w:tcPr>
            <w:tcW w:w="1366" w:type="dxa"/>
            <w:tcBorders>
              <w:tl2br w:val="nil"/>
              <w:tr2bl w:val="nil"/>
            </w:tcBorders>
            <w:vAlign w:val="center"/>
          </w:tcPr>
          <w:p w14:paraId="494AB199">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4F57205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1A0E35E7">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5280D9E1">
            <w:pPr>
              <w:keepNext w:val="0"/>
              <w:keepLines w:val="0"/>
              <w:widowControl/>
              <w:suppressLineNumbers w:val="0"/>
              <w:spacing w:before="0" w:beforeAutospacing="0" w:after="0" w:afterAutospacing="0" w:line="360" w:lineRule="auto"/>
              <w:ind w:left="0" w:right="0"/>
              <w:jc w:val="left"/>
              <w:rPr>
                <w:rFonts w:hint="eastAsia" w:ascii="Times New Roman" w:hAnsi="Times New Roman" w:eastAsia="宋体" w:cs="Times New Roman"/>
                <w:b/>
                <w:bCs w:val="0"/>
                <w:color w:val="C00000"/>
                <w:kern w:val="2"/>
                <w:sz w:val="21"/>
                <w:szCs w:val="21"/>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展示肌细胞的收缩功能</w:t>
            </w:r>
          </w:p>
          <w:p w14:paraId="78FA15A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一、神经 - 肌接头处的兴奋传递</w:t>
            </w:r>
          </w:p>
          <w:p w14:paraId="7C6E92B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骨骼肌细胞的收缩需在中枢神经系统控制下完成。</w:t>
            </w:r>
          </w:p>
          <w:p w14:paraId="2A655C6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（一）神经 - 肌接头的结构</w:t>
            </w:r>
          </w:p>
          <w:p w14:paraId="7E49CB3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神经 - 肌接头指的是运动神经纤维末梢和骨骼肌细胞相互接触的部位，它由接头前膜、接头后膜和接头间隙组成。</w:t>
            </w:r>
          </w:p>
          <w:p w14:paraId="141D923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运动神经纤维在到达骨骼肌细胞时，其末梢失去髓鞘，嵌入骨骼肌细胞膜，靠近肌细胞膜的轴突末梢为接头前膜，而与接头前膜相对应的肌细胞膜为接头后膜，又称终板膜。终板膜非常有规则地向细胞膜内陷，形成许多皱褶，从而扩大了接触面积，有利于兴奋的传递。接头前膜与接头后膜之间有一个充满细胞外液的间隙，即为接头间隙。</w:t>
            </w:r>
          </w:p>
          <w:p w14:paraId="5197B59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在轴突末梢的轴浆中，存在着大量的囊泡，囊泡中含有大量的乙酰胆碱（ACh）。</w:t>
            </w:r>
          </w:p>
          <w:p w14:paraId="6A58C28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在终板膜上存在着一种受体（N2-R），能与乙酰胆碱发生特异性结合，另外还有大量的胆碱酯酶，胆碱酯酶的主要作用就是水解和 N2-R 结合后的乙酰胆碱。</w:t>
            </w:r>
          </w:p>
          <w:p w14:paraId="658CC4D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（二）神经 - 肌接头兴奋传递的过程</w:t>
            </w:r>
          </w:p>
          <w:p w14:paraId="245A644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当运动神经纤维有神经冲动下传时，轴突末梢会发生去极化，使接头前膜的钙通道开放，此时细胞外液中的 Ca2+ 顺浓度差扩散到轴突末梢内，立即触发大量囊泡向着接头前膜的方向运动，直至与接头前膜融合破裂，此时囊泡中的 ACh 会释放进入接头间隙并扩散，最终会与接头后膜的 N2-R 结合，使接头后膜上的钠通道和钾通道开放，出现Na+ 内流和 K+ 外流，其中主要是 Na+ 内流，从而引起终板膜发生去极化，产生终板电位（endplate potential）。终板电位是一种局部电位，随着 ACh 与 N2-R 不断地结合而产生叠加。一旦终板电位使邻近的肌膜去极化达到阈电位水平，立即爆发动作电位，引起肌细胞兴奋，至此完成了神经 - 肌接头的兴奋传递。</w:t>
            </w:r>
          </w:p>
          <w:p w14:paraId="3748298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上述过程中，接头前膜释放的乙酰胆碱并没有进入肌细胞，它们仅仅起到了信息传递的作用，很快就被接头后膜上的胆碱酯酶水解，这样就保证了一次神经冲动只能引起一次肌细胞的兴奋，表现为一对一的关系。</w:t>
            </w:r>
          </w:p>
          <w:p w14:paraId="124A576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二、骨骼肌的微细结构与收缩机制</w:t>
            </w:r>
          </w:p>
          <w:p w14:paraId="6BD177A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（一）骨骼肌的微细结构</w:t>
            </w:r>
          </w:p>
          <w:p w14:paraId="6B16D57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肌原纤维和肌小节　肌细胞内含有大量的肌原纤维，它们平行排列，贯穿整个肌细胞。在光镜下观察发现，肌原纤维全长呈规则的明暗相间的节段，分别称为明带和暗带。</w:t>
            </w:r>
          </w:p>
          <w:p w14:paraId="163FFB7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明带中央有一条暗线为 Z 线，暗带中央有一条较亮的窄带为 H 带，H 带中央较深的线即为 M 线，肌小节指的是相邻两条 Z 线之间的一段肌原纤维，由中间的暗带和两侧各1 / 2 的明带组成。肌小节是肌肉的基本结构和功能单位。肌肉的收缩或舒张就是肌小节的缩短或延长。</w:t>
            </w:r>
          </w:p>
          <w:p w14:paraId="02E671B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在电子显微镜下观察发现肌小节是由粗肌丝和细肌丝组成的。形成暗带的肌丝主要是粗肌丝，M 线就是把许多粗肌丝连接在一起的结构；细肌丝则形成明带，Z 线就是连接许多细肌丝的结构。</w:t>
            </w:r>
          </w:p>
          <w:p w14:paraId="5C619BF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粗肌丝是由肌凝（球）蛋白组成的。肌凝蛋白由杆部和球状的头部形成。</w:t>
            </w:r>
          </w:p>
          <w:p w14:paraId="2F5D174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在形成粗肌丝时，肌凝蛋白的杆部横向会聚并朝向 M 线，形成粗肌丝的主干，而肌凝蛋白的头部，则有规律地突出在 M 线两侧的粗肌丝主干表面，形成横桥（cross bridge）。</w:t>
            </w:r>
          </w:p>
          <w:p w14:paraId="1E66F3E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横桥具有两个特性：其一，具有 ATP 酶的活性，当横桥与细肌丝结合时被激活，可以分解 ATP 释放能量；其二，存在着与细肌丝可逆性结合的位点。</w:t>
            </w:r>
          </w:p>
          <w:p w14:paraId="40ACF34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细肌丝由肌纤蛋白（肌动蛋白）、原肌凝蛋白和肌钙蛋白组成。肌纤蛋白构成细肌丝的主干，由两条球形的肌纤蛋白单体形成双螺旋结构，其上有许多能与横桥结合的位点。原肌凝蛋白呈螺旋状与肌纤蛋白伴行，正好掩盖肌纤蛋白上能与横桥结合的位点，阻止横桥与细肌丝的结合。肌钙蛋白呈小球状，与 Ca2+ 有很强的亲和力。</w:t>
            </w:r>
          </w:p>
          <w:p w14:paraId="1160E94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当肌钙蛋白与 Ca2+ 结合后，其构型会发生改变，牵拉着原肌凝蛋白发生位移，结合位点暴露，位阻效应解除。</w:t>
            </w:r>
          </w:p>
          <w:p w14:paraId="217C974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肌管系统　指围绕在肌原纤维周围的囊管状膜性结构，一共有两种。</w:t>
            </w:r>
          </w:p>
          <w:p w14:paraId="78539C4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一是横管系统，其走行方向与肌原纤维垂直，是由肌细胞膜向细胞内凹陷形成的，其管腔与细胞外液相同，它的作用是将肌细胞的动作电位沿着横管膜传入细胞内部；另一种</w:t>
            </w:r>
          </w:p>
          <w:p w14:paraId="4AD604E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为纵管系统（即肌质网），其走行方向与肌原纤维平行，相互连成网，靠近肌小节两端处膨大，即终池，内含大量的 Ca2+，其作用是贮存、释放、再摄取 Ca2+。我们把一条横管和两侧的终池称为三联体，它是把肌细胞的兴奋和收缩连接起来的关键部位。</w:t>
            </w:r>
          </w:p>
          <w:p w14:paraId="33B6058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（二）骨骼肌的收缩机制——肌丝滑行学说</w:t>
            </w:r>
          </w:p>
          <w:p w14:paraId="406CC69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骨骼肌的收缩可以用肌丝滑行学说来解释。肌丝滑行的要点：当肌细胞质中 Ca2+ 浓度升高到一定的程度时，Ca2+ 与肌钙蛋白结合，使其发生构型的改变，从而牵拉原肌凝蛋白发生位移，暴露出肌纤蛋白上的结合位点，使得横桥与肌纤蛋白结合，一旦这两者结合，就激活横桥上的 ATP 酶，分解 ATP 释放能量，使横桥扭动，细肌丝向着 M 线的方向滑行。完成一次扭动后，横桥与肌纤蛋白分开，再与肌纤蛋白的下一个结合位点结合，重复上述过程，使肌小节逐渐缩短，肌细胞收缩。</w:t>
            </w:r>
          </w:p>
          <w:p w14:paraId="3ADE190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当胞质中的 Ca2+ 浓度降低时，肌钙蛋白与 Ca2+ 分离，原肌凝蛋白重新掩盖位点，阻断横桥与肌纤蛋白的结合，细肌丝从粗肌丝之间滑出，肌小节恢复原长度，肌细胞舒张。</w:t>
            </w:r>
          </w:p>
          <w:p w14:paraId="42A8892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由此可见，骨骼肌的收缩实质上是肌小节的缩短，准确地说是细肌丝向着粗肌丝的M 线方向滑行的结果。在肌丝滑行的过程中，肌凝蛋白和肌纤蛋白直接参与肌肉的收缩，称为收缩蛋白，原肌凝蛋白和肌钙蛋白虽然不直接参与肌细胞的收缩，但对收缩的过程有着调控作用，所以称为调节蛋白。</w:t>
            </w:r>
          </w:p>
          <w:p w14:paraId="730D186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三、骨骼肌的兴奋 - 收缩耦联</w:t>
            </w:r>
          </w:p>
          <w:p w14:paraId="318F148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把肌细胞的兴奋和肌细胞的收缩连接起来的过程称为兴奋 - 收缩耦联（excitationcontraction coupling）。其基本过程可归纳为三个步骤：①肌膜上的动作电位经过横管膜到达三联体；②三联体处的信息传递；③终池对 Ca2+ 的释放、再摄取、贮存。三联体是兴奋 - 收缩耦联的结构基础，Ca2+ 是重要的耦联物质。</w:t>
            </w:r>
          </w:p>
          <w:p w14:paraId="557D11C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四、骨骼肌收缩的外部表现及其影响因素</w:t>
            </w:r>
          </w:p>
          <w:p w14:paraId="48F47ED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肌肉收缩的外部表现根据肌肉长度和张力的变化，可分为等长收缩和等张收缩；根据肌肉受刺激频率变化，可分为单收缩和强直收缩。</w:t>
            </w:r>
          </w:p>
          <w:p w14:paraId="53DEB3C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人体骨骼肌的收缩大多情况下是混合式的。</w:t>
            </w:r>
          </w:p>
          <w:p w14:paraId="6062F93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（一）等张收缩和等长收缩</w:t>
            </w:r>
          </w:p>
          <w:p w14:paraId="66CF465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等张收缩　等张收缩（isotonic contraction）指肌肉收缩时长度缩短而张力不变，其主要生理意义是使物体发生位移，完成肌肉做功。</w:t>
            </w:r>
          </w:p>
          <w:p w14:paraId="2B94127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等长收缩　等长收缩（isometric contraction）指肌肉收缩时张力增加而长度不变</w:t>
            </w:r>
          </w:p>
          <w:p w14:paraId="6319A2F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（二）单收缩和强直收缩</w:t>
            </w:r>
          </w:p>
          <w:p w14:paraId="2622840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单收缩　单收缩（twitch）指肌肉受到一次刺激，引起一次收缩。实验记录的单收缩曲线可分为潜伏期、缩短期和舒张期三个时期。</w:t>
            </w:r>
          </w:p>
          <w:p w14:paraId="7A28990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强直收缩　强直收缩（tetanus）指肌肉受到连续刺激时，骨骼肌持续的收缩状态，可分为不完全性强直收缩和完全性强直收缩两种。</w:t>
            </w:r>
          </w:p>
          <w:p w14:paraId="330BAF1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both"/>
              <w:textAlignment w:val="auto"/>
              <w:rPr>
                <w:rFonts w:hint="eastAsia" w:ascii="宋体" w:hAnsi="宋体" w:eastAsia="宋体" w:cs="宋体"/>
                <w:b/>
                <w:bCs w:val="0"/>
                <w:color w:val="000000"/>
                <w:kern w:val="2"/>
                <w:sz w:val="21"/>
                <w:szCs w:val="21"/>
                <w:lang w:val="en-US" w:eastAsia="zh-CN" w:bidi="ar"/>
              </w:rPr>
            </w:pPr>
            <w:r>
              <w:rPr>
                <w:rFonts w:hint="eastAsia" w:ascii="宋体" w:hAnsi="宋体" w:eastAsia="宋体" w:cs="宋体"/>
                <w:b/>
                <w:bCs w:val="0"/>
                <w:color w:val="000000"/>
                <w:kern w:val="2"/>
                <w:sz w:val="21"/>
                <w:szCs w:val="21"/>
                <w:lang w:val="en-US" w:eastAsia="zh-CN" w:bidi="ar"/>
              </w:rPr>
              <w:t>（三）影响骨骼肌收缩的因素</w:t>
            </w:r>
          </w:p>
          <w:p w14:paraId="11424FC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1. 前负荷　前负荷（preload）指肌肉收缩前所承受的负荷。肌肉的初长度是指肌肉收缩前在前负荷作用下的长度。在其他条件不变的情况下，逐渐增加肌肉的前负荷，肌肉的初长度也会增长，此时描记出肌肉的张力随初长度变化的曲线，在一定范围内肌张力和初长度呈正相关，但是超出某一范围后，肌张力和初长度呈反变的关系。这个产生最大张力的肌肉初长度为最适初长度，此时的前负荷为最适前负荷。</w:t>
            </w:r>
          </w:p>
          <w:p w14:paraId="6F06607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2. 后负荷　后负荷（afterload）指肌肉开始收缩时所承受的负荷，是肌肉收缩时受到的阻力。将同一块肌肉在不同后负荷状态下所产生的张力和缩短时的速度描记下来就形成张力 - 速度关系曲线，不难发现，后负荷与肌肉收缩产生的张力呈正变的关系，而与肌肉缩短的速度和长度成反变的关系。</w:t>
            </w:r>
          </w:p>
          <w:p w14:paraId="163DB4B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3. 肌肉收缩能力　肌肉收缩能力（contractility）指与前、后负荷无关的肌肉本身的功能状态和内在的收缩特性。该能力易受到神经体液、机体代谢状况等因素的影响。</w:t>
            </w:r>
          </w:p>
          <w:p w14:paraId="0A8B59A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宋体" w:hAnsi="宋体" w:eastAsia="宋体" w:cs="宋体"/>
                <w:b w:val="0"/>
                <w:bCs/>
                <w:color w:val="000000"/>
                <w:kern w:val="2"/>
                <w:sz w:val="21"/>
                <w:szCs w:val="21"/>
                <w:lang w:val="en-US" w:eastAsia="zh-CN" w:bidi="ar"/>
              </w:rPr>
            </w:pPr>
            <w:r>
              <w:rPr>
                <w:rFonts w:hint="eastAsia" w:ascii="宋体" w:hAnsi="宋体" w:eastAsia="宋体" w:cs="宋体"/>
                <w:b w:val="0"/>
                <w:bCs/>
                <w:color w:val="000000"/>
                <w:kern w:val="2"/>
                <w:sz w:val="21"/>
                <w:szCs w:val="21"/>
                <w:lang w:val="en-US" w:eastAsia="zh-CN" w:bidi="ar"/>
              </w:rPr>
              <w:t>缺氧、酸中毒、低钙、能量供应不足、机械损伤等可使肌肉收缩能力下降；咖啡因、Ca2+、肾上腺素、体育锻炼等可使肌肉收缩能力增强。</w:t>
            </w:r>
          </w:p>
          <w:p w14:paraId="32E6B5D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4B662C64">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教师通过</w:t>
            </w:r>
            <w:r>
              <w:rPr>
                <w:rFonts w:hint="eastAsia" w:ascii="Times New Roman" w:hAnsi="Times New Roman"/>
                <w:b/>
                <w:szCs w:val="24"/>
                <w:lang w:eastAsia="zh-CN"/>
              </w:rPr>
              <w:t>肌细胞的收缩功能展示</w:t>
            </w:r>
            <w:r>
              <w:rPr>
                <w:rFonts w:hint="eastAsia" w:ascii="Times New Roman" w:hAnsi="Times New Roman"/>
                <w:b/>
                <w:szCs w:val="24"/>
              </w:rPr>
              <w:t>，</w:t>
            </w:r>
            <w:r>
              <w:rPr>
                <w:rFonts w:hint="eastAsia" w:ascii="Times New Roman" w:hAnsi="Times New Roman"/>
                <w:b/>
                <w:szCs w:val="24"/>
                <w:lang w:eastAsia="zh-CN"/>
              </w:rPr>
              <w:t>让</w:t>
            </w:r>
            <w:r>
              <w:rPr>
                <w:rFonts w:hint="eastAsia" w:ascii="Times New Roman" w:hAnsi="Times New Roman"/>
                <w:b/>
                <w:szCs w:val="24"/>
              </w:rPr>
              <w:t>学生了解</w:t>
            </w:r>
            <w:r>
              <w:rPr>
                <w:rFonts w:hint="eastAsia" w:ascii="Times New Roman" w:hAnsi="Times New Roman"/>
                <w:b/>
                <w:szCs w:val="24"/>
                <w:lang w:eastAsia="zh-CN"/>
              </w:rPr>
              <w:t>肌细胞的收缩功能</w:t>
            </w:r>
            <w:r>
              <w:rPr>
                <w:rFonts w:hint="eastAsia" w:ascii="Times New Roman" w:hAnsi="Times New Roman"/>
                <w:b/>
                <w:szCs w:val="24"/>
              </w:rPr>
              <w:t>的基本理论知识。</w:t>
            </w:r>
          </w:p>
        </w:tc>
      </w:tr>
      <w:tr w14:paraId="30910F0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6B4977D3">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06A1502F">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43318B7C">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57FF21E1">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这节课我们一起学习了</w:t>
            </w:r>
            <w:r>
              <w:rPr>
                <w:rFonts w:hint="eastAsia" w:ascii="宋体" w:hAnsi="宋体" w:cs="宋体"/>
                <w:b/>
                <w:bCs w:val="0"/>
                <w:kern w:val="0"/>
                <w:sz w:val="21"/>
                <w:szCs w:val="21"/>
                <w:lang w:val="en-US" w:eastAsia="zh-CN" w:bidi="ar"/>
              </w:rPr>
              <w:t>肌细胞的收缩功能，人体各种不同形式的运动都依赖肌细胞的收缩来完成，如肢体运动和姿势的维持是骨骼肌收缩的结果等。</w:t>
            </w:r>
          </w:p>
        </w:tc>
        <w:tc>
          <w:tcPr>
            <w:tcW w:w="1366" w:type="dxa"/>
            <w:tcBorders>
              <w:tl2br w:val="nil"/>
              <w:tr2bl w:val="nil"/>
            </w:tcBorders>
            <w:vAlign w:val="center"/>
          </w:tcPr>
          <w:p w14:paraId="74E1CB89">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19369AD8">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67E170BB">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1394335A">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59A6A2AE">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r>
              <w:rPr>
                <w:rFonts w:hint="eastAsia" w:ascii="宋体" w:hAnsi="宋体" w:cs="宋体"/>
                <w:b/>
                <w:bCs w:val="0"/>
                <w:kern w:val="2"/>
                <w:sz w:val="21"/>
                <w:szCs w:val="21"/>
                <w:lang w:val="en-US" w:eastAsia="zh-CN" w:bidi="ar"/>
              </w:rPr>
              <w:t>简述彩影响骨骼肌收缩的因素</w:t>
            </w:r>
            <w:r>
              <w:rPr>
                <w:rFonts w:hint="eastAsia" w:ascii="宋体" w:hAnsi="宋体" w:eastAsia="宋体" w:cs="宋体"/>
                <w:b/>
                <w:bCs w:val="0"/>
                <w:kern w:val="2"/>
                <w:sz w:val="21"/>
                <w:szCs w:val="21"/>
                <w:lang w:val="en-US" w:eastAsia="zh-CN" w:bidi="ar"/>
              </w:rPr>
              <w:t>。</w:t>
            </w:r>
          </w:p>
        </w:tc>
        <w:tc>
          <w:tcPr>
            <w:tcW w:w="1366" w:type="dxa"/>
            <w:tcBorders>
              <w:tl2br w:val="nil"/>
              <w:tr2bl w:val="nil"/>
            </w:tcBorders>
            <w:vAlign w:val="center"/>
          </w:tcPr>
          <w:p w14:paraId="68755FD7">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58FBC5F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DAF8FF"/>
            <w:vAlign w:val="center"/>
          </w:tcPr>
          <w:p w14:paraId="5533E580">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rPr>
              <w:t>教学反思</w:t>
            </w:r>
          </w:p>
        </w:tc>
        <w:tc>
          <w:tcPr>
            <w:tcW w:w="7173" w:type="dxa"/>
            <w:gridSpan w:val="2"/>
            <w:tcBorders>
              <w:tl2br w:val="nil"/>
              <w:tr2bl w:val="nil"/>
            </w:tcBorders>
            <w:vAlign w:val="center"/>
          </w:tcPr>
          <w:p w14:paraId="3C15D9C8">
            <w:pPr>
              <w:keepNext w:val="0"/>
              <w:keepLines w:val="0"/>
              <w:suppressLineNumbers w:val="0"/>
              <w:spacing w:before="0" w:beforeAutospacing="0" w:after="0" w:afterAutospacing="0" w:line="360" w:lineRule="auto"/>
              <w:ind w:left="0" w:right="0"/>
              <w:rPr>
                <w:rFonts w:hint="default" w:ascii="Times New Roman" w:hAnsi="Times New Roman"/>
              </w:rPr>
            </w:pPr>
            <w:r>
              <w:rPr>
                <w:rFonts w:hint="default" w:ascii="Times New Roman" w:hAnsi="Times New Roman"/>
              </w:rPr>
              <w:t>“兴趣是最好的老师”。这节课采用了学生喜欢的形式上课，课堂气氛轻松活泼了，充分给了学生学习自主权，学生的学习主动性得到激发，学习效果明显提高。</w:t>
            </w:r>
          </w:p>
        </w:tc>
      </w:tr>
      <w:bookmarkEnd w:id="0"/>
    </w:tbl>
    <w:p w14:paraId="169D1113"/>
    <w:sectPr>
      <w:pgSz w:w="11906" w:h="16838"/>
      <w:pgMar w:top="567" w:right="170" w:bottom="850" w:left="170" w:header="567" w:footer="850"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ADDF6E4E-87AB-4293-AD26-005DED00E8AE}"/>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2" w:fontKey="{24D29C94-0F5D-47FE-A9A6-19121C5CBE71}"/>
  </w:font>
  <w:font w:name="微软雅黑">
    <w:panose1 w:val="020B0503020204020204"/>
    <w:charset w:val="86"/>
    <w:family w:val="auto"/>
    <w:pitch w:val="default"/>
    <w:sig w:usb0="80000287" w:usb1="2ACF3C50" w:usb2="00000016" w:usb3="00000000" w:csb0="0004001F" w:csb1="00000000"/>
    <w:embedRegular r:id="rId3" w:fontKey="{24459CDF-A3A1-4613-A875-B01702AE021C}"/>
  </w:font>
  <w:font w:name="方正宋黑_GBK">
    <w:panose1 w:val="03000509000000000000"/>
    <w:charset w:val="86"/>
    <w:family w:val="script"/>
    <w:pitch w:val="default"/>
    <w:sig w:usb0="00000001" w:usb1="080E0000" w:usb2="0000000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PinYinok">
    <w:panose1 w:val="020B0603050302020204"/>
    <w:charset w:val="00"/>
    <w:family w:val="swiss"/>
    <w:pitch w:val="default"/>
    <w:sig w:usb0="00000000" w:usb1="00000000" w:usb2="00000000" w:usb3="00000000" w:csb0="00000000" w:csb1="00000000"/>
  </w:font>
  <w:font w:name="汉仪菱心体简">
    <w:panose1 w:val="02010400000101010101"/>
    <w:charset w:val="86"/>
    <w:family w:val="auto"/>
    <w:pitch w:val="default"/>
    <w:sig w:usb0="00000001" w:usb1="080E0800" w:usb2="00000002" w:usb3="00000000" w:csb0="00040000" w:csb1="00000000"/>
    <w:embedRegular r:id="rId4" w:fontKey="{0AEF8274-A726-458F-B3DC-D64FCB107DEB}"/>
  </w:font>
  <w:font w:name="思源宋体 CN Heavy">
    <w:panose1 w:val="02020900000000000000"/>
    <w:charset w:val="86"/>
    <w:family w:val="auto"/>
    <w:pitch w:val="default"/>
    <w:sig w:usb0="20000083" w:usb1="2ADF3C10" w:usb2="00000016" w:usb3="00000000" w:csb0="60060107" w:csb1="00000000"/>
  </w:font>
  <w:font w:name="微软简老宋">
    <w:panose1 w:val="00000000000000000000"/>
    <w:charset w:val="00"/>
    <w:family w:val="auto"/>
    <w:pitch w:val="default"/>
    <w:sig w:usb0="00000000" w:usb1="00000000" w:usb2="00000000" w:usb3="00000000" w:csb0="00000000" w:csb1="00000000"/>
    <w:embedRegular r:id="rId5" w:fontKey="{88380478-D5B8-4880-9DA1-B30BFFD4AC8D}"/>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C28E3C">
    <w:pPr>
      <w:pStyle w:val="9"/>
      <w:pBdr>
        <w:bottom w:val="none" w:color="auto" w:sz="0" w:space="1"/>
      </w:pBdr>
      <w:rPr>
        <w:rFonts w:hint="eastAsia" w:eastAsia="宋体"/>
        <w:lang w:eastAsia="zh-CN"/>
      </w:rPr>
    </w:pPr>
    <w:r>
      <mc:AlternateContent>
        <mc:Choice Requires="wps">
          <w:drawing>
            <wp:anchor distT="0" distB="0" distL="114300" distR="114300" simplePos="0" relativeHeight="251663360" behindDoc="0" locked="0" layoutInCell="1" allowOverlap="1">
              <wp:simplePos x="0" y="0"/>
              <wp:positionH relativeFrom="column">
                <wp:posOffset>162560</wp:posOffset>
              </wp:positionH>
              <wp:positionV relativeFrom="paragraph">
                <wp:posOffset>-2540</wp:posOffset>
              </wp:positionV>
              <wp:extent cx="7019925" cy="9953625"/>
              <wp:effectExtent l="6350" t="6350" r="22225" b="22225"/>
              <wp:wrapNone/>
              <wp:docPr id="98" name="矩形 98"/>
              <wp:cNvGraphicFramePr/>
              <a:graphic xmlns:a="http://schemas.openxmlformats.org/drawingml/2006/main">
                <a:graphicData uri="http://schemas.microsoft.com/office/word/2010/wordprocessingShape">
                  <wps:wsp>
                    <wps:cNvSpPr/>
                    <wps:spPr>
                      <a:xfrm>
                        <a:off x="0" y="0"/>
                        <a:ext cx="7019925" cy="9953625"/>
                      </a:xfrm>
                      <a:prstGeom prst="rect">
                        <a:avLst/>
                      </a:prstGeom>
                      <a:solidFill>
                        <a:srgbClr val="FFFFFF">
                          <a:alpha val="73000"/>
                        </a:srgbClr>
                      </a:solidFill>
                      <a:ln>
                        <a:solidFill>
                          <a:srgbClr val="7EC1E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8pt;margin-top:-0.2pt;height:783.75pt;width:552.75pt;z-index:251663360;v-text-anchor:middle;mso-width-relative:page;mso-height-relative:page;" fillcolor="#FFFFFF" filled="t" stroked="t" coordsize="21600,21600" o:gfxdata="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">
              <v:fill on="t" opacity="47841f" focussize="0,0"/>
              <v:stroke weight="1pt" color="#7EC1E1 [3204]" miterlimit="8" joinstyle="miter"/>
              <v:imagedata o:title=""/>
              <o:lock v:ext="edit" aspectratio="f"/>
            </v:rect>
          </w:pict>
        </mc:Fallback>
      </mc:AlternateContent>
    </w:r>
    <w:r>
      <w:rPr>
        <w:sz w:val="18"/>
      </w:rPr>
      <mc:AlternateContent>
        <mc:Choice Requires="wps">
          <w:drawing>
            <wp:anchor distT="0" distB="0" distL="114300" distR="114300" simplePos="0" relativeHeight="251660288" behindDoc="0" locked="0" layoutInCell="1" allowOverlap="1">
              <wp:simplePos x="0" y="0"/>
              <wp:positionH relativeFrom="column">
                <wp:posOffset>249555</wp:posOffset>
              </wp:positionH>
              <wp:positionV relativeFrom="paragraph">
                <wp:posOffset>5715</wp:posOffset>
              </wp:positionV>
              <wp:extent cx="6840220" cy="9972040"/>
              <wp:effectExtent l="6350" t="6350" r="11430" b="22860"/>
              <wp:wrapNone/>
              <wp:docPr id="8" name="矩形 8"/>
              <wp:cNvGraphicFramePr/>
              <a:graphic xmlns:a="http://schemas.openxmlformats.org/drawingml/2006/main">
                <a:graphicData uri="http://schemas.microsoft.com/office/word/2010/wordprocessingShape">
                  <wps:wsp>
                    <wps:cNvSpPr/>
                    <wps:spPr>
                      <a:xfrm>
                        <a:off x="293370" y="365760"/>
                        <a:ext cx="6840220" cy="9972040"/>
                      </a:xfrm>
                      <a:prstGeom prst="rect">
                        <a:avLst/>
                      </a:prstGeom>
                      <a:solidFill>
                        <a:schemeClr val="bg1">
                          <a:alpha val="55000"/>
                        </a:schemeClr>
                      </a:solidFill>
                      <a:ln>
                        <a:solidFill>
                          <a:schemeClr val="bg1">
                            <a:lumMod val="95000"/>
                          </a:schemeClr>
                        </a:solidFill>
                        <a:prstDash val="solid"/>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9.65pt;margin-top:0.45pt;height:785.2pt;width:538.6pt;z-index:251660288;v-text-anchor:middle;mso-width-relative:page;mso-height-relative:page;" fillcolor="#FFFFFF [3212]" filled="t" stroked="t" coordsize="21600,21600" o:gfxdata="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">
              <v:fill on="t" opacity="36044f" focussize="0,0"/>
              <v:stroke weight="1pt" color="#F2F2F2 [3052]" miterlimit="8" joinstyle="miter"/>
              <v:imagedata o:title=""/>
              <o:lock v:ext="edit" aspectratio="f"/>
            </v:rect>
          </w:pict>
        </mc:Fallback>
      </mc:AlternateContent>
    </w:r>
    <w:r>
      <w:drawing>
        <wp:anchor distT="0" distB="0" distL="114300" distR="114300" simplePos="0" relativeHeight="251662336" behindDoc="0" locked="0" layoutInCell="1" allowOverlap="1">
          <wp:simplePos x="0" y="0"/>
          <wp:positionH relativeFrom="column">
            <wp:posOffset>-189230</wp:posOffset>
          </wp:positionH>
          <wp:positionV relativeFrom="paragraph">
            <wp:posOffset>-476250</wp:posOffset>
          </wp:positionV>
          <wp:extent cx="7640955" cy="10807700"/>
          <wp:effectExtent l="0" t="0" r="17145" b="12700"/>
          <wp:wrapNone/>
          <wp:docPr id="95" name="图片 95" descr="临床医生背景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临床医生背景图片"/>
                  <pic:cNvPicPr>
                    <a:picLocks noChangeAspect="1"/>
                  </pic:cNvPicPr>
                </pic:nvPicPr>
                <pic:blipFill>
                  <a:blip r:embed="rId1"/>
                  <a:stretch>
                    <a:fillRect/>
                  </a:stretch>
                </pic:blipFill>
                <pic:spPr>
                  <a:xfrm>
                    <a:off x="0" y="0"/>
                    <a:ext cx="7640955" cy="10807700"/>
                  </a:xfrm>
                  <a:prstGeom prst="rect">
                    <a:avLst/>
                  </a:prstGeom>
                </pic:spPr>
              </pic:pic>
            </a:graphicData>
          </a:graphic>
        </wp:anchor>
      </w:drawing>
    </w:r>
    <w:r>
      <w:rPr>
        <w:rFonts w:hint="eastAsia" w:eastAsia="宋体"/>
        <w:lang w:eastAsia="zh-CN"/>
      </w:rPr>
      <w:drawing>
        <wp:anchor distT="0" distB="0" distL="114300" distR="114300" simplePos="0" relativeHeight="251659264" behindDoc="1" locked="0" layoutInCell="1" allowOverlap="1">
          <wp:simplePos x="0" y="0"/>
          <wp:positionH relativeFrom="column">
            <wp:posOffset>-113030</wp:posOffset>
          </wp:positionH>
          <wp:positionV relativeFrom="paragraph">
            <wp:posOffset>-350520</wp:posOffset>
          </wp:positionV>
          <wp:extent cx="7559040" cy="10692130"/>
          <wp:effectExtent l="0" t="0" r="3810" b="13970"/>
          <wp:wrapNone/>
          <wp:docPr id="7" name="图片 7"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医学背景2"/>
                  <pic:cNvPicPr>
                    <a:picLocks noChangeAspect="1"/>
                  </pic:cNvPicPr>
                </pic:nvPicPr>
                <pic:blipFill>
                  <a:blip r:embed="rId2"/>
                  <a:stretch>
                    <a:fillRect/>
                  </a:stretch>
                </pic:blipFill>
                <pic:spPr>
                  <a:xfrm>
                    <a:off x="0" y="0"/>
                    <a:ext cx="7559040" cy="10692130"/>
                  </a:xfrm>
                  <a:prstGeom prst="rect">
                    <a:avLst/>
                  </a:prstGeom>
                </pic:spPr>
              </pic:pic>
            </a:graphicData>
          </a:graphic>
        </wp:anchor>
      </w:drawing>
    </w:r>
  </w:p>
  <w:p w14:paraId="76D56191">
    <w:pPr>
      <w:pStyle w:val="9"/>
      <w:pBdr>
        <w:bottom w:val="none" w:color="auto" w:sz="0" w:space="1"/>
      </w:pBdr>
      <w:rPr>
        <w:rFonts w:hint="eastAsia" w:eastAsia="宋体"/>
        <w:lang w:eastAsia="zh-CN"/>
      </w:rPr>
    </w:pPr>
    <w:r>
      <w:rPr>
        <w:rFonts w:hint="eastAsia" w:eastAsia="宋体"/>
        <w:lang w:eastAsia="zh-CN"/>
      </w:rPr>
      <w:drawing>
        <wp:inline distT="0" distB="0" distL="114300" distR="114300">
          <wp:extent cx="6614160" cy="9355455"/>
          <wp:effectExtent l="0" t="0" r="15240" b="17145"/>
          <wp:docPr id="6" name="图片 6"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医学背景2"/>
                  <pic:cNvPicPr>
                    <a:picLocks noChangeAspect="1"/>
                  </pic:cNvPicPr>
                </pic:nvPicPr>
                <pic:blipFill>
                  <a:blip r:embed="rId2"/>
                  <a:stretch>
                    <a:fillRect/>
                  </a:stretch>
                </pic:blipFill>
                <pic:spPr>
                  <a:xfrm>
                    <a:off x="0" y="0"/>
                    <a:ext cx="6614160" cy="9355455"/>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DB6F23">
    <w:pPr>
      <w:pStyle w:val="9"/>
      <w:pBdr>
        <w:bottom w:val="none" w:color="auto" w:sz="0" w:space="1"/>
      </w:pBdr>
      <w:rPr>
        <w:rFonts w:hint="eastAsia" w:eastAsia="宋体"/>
        <w:lang w:eastAsia="zh-CN"/>
      </w:rPr>
    </w:pPr>
    <w:r>
      <w:rPr>
        <w:rFonts w:hint="eastAsia" w:eastAsiaTheme="minorEastAsia"/>
        <w:lang w:eastAsia="zh-CN"/>
      </w:rPr>
      <w:drawing>
        <wp:anchor distT="0" distB="0" distL="114300" distR="114300" simplePos="0" relativeHeight="251661312" behindDoc="1" locked="0" layoutInCell="1" allowOverlap="1">
          <wp:simplePos x="0" y="0"/>
          <wp:positionH relativeFrom="column">
            <wp:posOffset>-224790</wp:posOffset>
          </wp:positionH>
          <wp:positionV relativeFrom="page">
            <wp:posOffset>0</wp:posOffset>
          </wp:positionV>
          <wp:extent cx="7676515" cy="7571105"/>
          <wp:effectExtent l="0" t="0" r="635" b="0"/>
          <wp:wrapNone/>
          <wp:docPr id="3" name="图片 3" descr="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92"/>
                  <pic:cNvPicPr>
                    <a:picLocks noChangeAspect="1"/>
                  </pic:cNvPicPr>
                </pic:nvPicPr>
                <pic:blipFill>
                  <a:blip r:embed="rId1"/>
                  <a:stretch>
                    <a:fillRect/>
                  </a:stretch>
                </pic:blipFill>
                <pic:spPr>
                  <a:xfrm>
                    <a:off x="0" y="0"/>
                    <a:ext cx="7676515" cy="7571105"/>
                  </a:xfrm>
                  <a:prstGeom prst="rect">
                    <a:avLst/>
                  </a:prstGeom>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UwZDJhYjUyNWMyYTM4YmY1YzczYWE4MTIwOWE1NDY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27B08F2"/>
    <w:rsid w:val="0AC91BFE"/>
    <w:rsid w:val="0D0A5F71"/>
    <w:rsid w:val="0E3C75E8"/>
    <w:rsid w:val="1FB84519"/>
    <w:rsid w:val="2003061B"/>
    <w:rsid w:val="20F13C9B"/>
    <w:rsid w:val="238347DF"/>
    <w:rsid w:val="24B477DD"/>
    <w:rsid w:val="278141AB"/>
    <w:rsid w:val="28B578A7"/>
    <w:rsid w:val="322A12C5"/>
    <w:rsid w:val="34AD60CD"/>
    <w:rsid w:val="34B67F89"/>
    <w:rsid w:val="368D542E"/>
    <w:rsid w:val="388B134B"/>
    <w:rsid w:val="436C72A2"/>
    <w:rsid w:val="43CD7F64"/>
    <w:rsid w:val="44B33A23"/>
    <w:rsid w:val="45C91BBA"/>
    <w:rsid w:val="49F8701E"/>
    <w:rsid w:val="4C7F0E23"/>
    <w:rsid w:val="582E68E8"/>
    <w:rsid w:val="5A7C6694"/>
    <w:rsid w:val="5FFC3909"/>
    <w:rsid w:val="600E33E1"/>
    <w:rsid w:val="622A303A"/>
    <w:rsid w:val="64133A3F"/>
    <w:rsid w:val="6ED554B1"/>
    <w:rsid w:val="723010AC"/>
    <w:rsid w:val="7E1F5A4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paragraph" w:styleId="3">
    <w:name w:val="heading 3"/>
    <w:basedOn w:val="1"/>
    <w:next w:val="1"/>
    <w:link w:val="30"/>
    <w:unhideWhenUsed/>
    <w:qFormat/>
    <w:uiPriority w:val="9"/>
    <w:pPr>
      <w:keepNext/>
      <w:keepLines/>
      <w:spacing w:before="260" w:after="260" w:line="416" w:lineRule="auto"/>
      <w:outlineLvl w:val="2"/>
    </w:pPr>
    <w:rPr>
      <w:b/>
      <w:bCs/>
      <w:sz w:val="32"/>
      <w:szCs w:val="32"/>
    </w:rPr>
  </w:style>
  <w:style w:type="paragraph" w:styleId="4">
    <w:name w:val="heading 4"/>
    <w:basedOn w:val="1"/>
    <w:next w:val="1"/>
    <w:link w:val="23"/>
    <w:qFormat/>
    <w:uiPriority w:val="0"/>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5">
    <w:name w:val="heading 5"/>
    <w:basedOn w:val="1"/>
    <w:next w:val="1"/>
    <w:link w:val="25"/>
    <w:semiHidden/>
    <w:unhideWhenUsed/>
    <w:qFormat/>
    <w:uiPriority w:val="9"/>
    <w:pPr>
      <w:keepNext/>
      <w:keepLines/>
      <w:spacing w:before="280" w:after="290" w:line="376" w:lineRule="auto"/>
      <w:outlineLvl w:val="4"/>
    </w:pPr>
    <w:rPr>
      <w:b/>
      <w:bCs/>
      <w:sz w:val="28"/>
      <w:szCs w:val="28"/>
    </w:rPr>
  </w:style>
  <w:style w:type="paragraph" w:styleId="6">
    <w:name w:val="heading 6"/>
    <w:basedOn w:val="1"/>
    <w:next w:val="1"/>
    <w:link w:val="26"/>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2">
    <w:name w:val="Default Paragraph Font"/>
    <w:semiHidden/>
    <w:unhideWhenUsed/>
    <w:qFormat/>
    <w:uiPriority w:val="1"/>
  </w:style>
  <w:style w:type="table" w:default="1" w:styleId="10">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caption"/>
    <w:basedOn w:val="1"/>
    <w:next w:val="1"/>
    <w:link w:val="28"/>
    <w:unhideWhenUsed/>
    <w:qFormat/>
    <w:uiPriority w:val="0"/>
    <w:rPr>
      <w:rFonts w:eastAsia="黑体" w:asciiTheme="majorHAnsi" w:hAnsiTheme="majorHAnsi" w:cstheme="majorBidi"/>
      <w:sz w:val="20"/>
      <w:szCs w:val="20"/>
    </w:rPr>
  </w:style>
  <w:style w:type="paragraph" w:styleId="8">
    <w:name w:val="footer"/>
    <w:basedOn w:val="1"/>
    <w:link w:val="19"/>
    <w:unhideWhenUsed/>
    <w:qFormat/>
    <w:uiPriority w:val="99"/>
    <w:pPr>
      <w:tabs>
        <w:tab w:val="center" w:pos="4153"/>
        <w:tab w:val="right" w:pos="8306"/>
      </w:tabs>
      <w:snapToGrid w:val="0"/>
      <w:jc w:val="left"/>
    </w:pPr>
    <w:rPr>
      <w:sz w:val="18"/>
      <w:szCs w:val="18"/>
    </w:rPr>
  </w:style>
  <w:style w:type="paragraph" w:styleId="9">
    <w:name w:val="header"/>
    <w:basedOn w:val="1"/>
    <w:link w:val="18"/>
    <w:unhideWhenUsed/>
    <w:qFormat/>
    <w:uiPriority w:val="99"/>
    <w:pPr>
      <w:pBdr>
        <w:bottom w:val="single" w:color="auto" w:sz="6" w:space="1"/>
      </w:pBdr>
      <w:tabs>
        <w:tab w:val="center" w:pos="4153"/>
        <w:tab w:val="right" w:pos="8306"/>
      </w:tabs>
      <w:snapToGrid w:val="0"/>
      <w:jc w:val="center"/>
    </w:pPr>
    <w:rPr>
      <w:sz w:val="18"/>
      <w:szCs w:val="18"/>
    </w:rPr>
  </w:style>
  <w:style w:type="table" w:styleId="11">
    <w:name w:val="Table Grid"/>
    <w:basedOn w:val="10"/>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4">
    <w:name w:val="Heading #3|1"/>
    <w:basedOn w:val="1"/>
    <w:link w:val="15"/>
    <w:qFormat/>
    <w:uiPriority w:val="0"/>
    <w:pPr>
      <w:spacing w:after="160"/>
      <w:outlineLvl w:val="2"/>
    </w:pPr>
    <w:rPr>
      <w:rFonts w:ascii="宋体" w:hAnsi="宋体" w:cs="宋体"/>
      <w:color w:val="EC008D"/>
      <w:sz w:val="20"/>
      <w:szCs w:val="20"/>
      <w:lang w:val="zh-TW" w:eastAsia="zh-TW" w:bidi="zh-TW"/>
    </w:rPr>
  </w:style>
  <w:style w:type="character" w:customStyle="1" w:styleId="15">
    <w:name w:val="Heading #3|1 Char"/>
    <w:link w:val="14"/>
    <w:qFormat/>
    <w:uiPriority w:val="0"/>
    <w:rPr>
      <w:rFonts w:ascii="宋体" w:hAnsi="宋体" w:eastAsia="宋体" w:cs="宋体"/>
      <w:color w:val="EC008D"/>
      <w:sz w:val="20"/>
      <w:szCs w:val="20"/>
      <w:lang w:val="zh-TW" w:eastAsia="zh-TW" w:bidi="zh-TW"/>
    </w:rPr>
  </w:style>
  <w:style w:type="paragraph" w:customStyle="1" w:styleId="16">
    <w:name w:val="Body text|1"/>
    <w:basedOn w:val="1"/>
    <w:link w:val="17"/>
    <w:unhideWhenUsed/>
    <w:qFormat/>
    <w:uiPriority w:val="0"/>
    <w:pPr>
      <w:spacing w:line="360" w:lineRule="auto"/>
      <w:ind w:firstLine="400"/>
    </w:pPr>
    <w:rPr>
      <w:rFonts w:ascii="宋体" w:hAnsi="宋体" w:cs="宋体"/>
      <w:sz w:val="20"/>
      <w:szCs w:val="20"/>
      <w:lang w:val="zh-TW" w:eastAsia="zh-TW" w:bidi="zh-TW"/>
    </w:rPr>
  </w:style>
  <w:style w:type="character" w:customStyle="1" w:styleId="17">
    <w:name w:val="Body text|1 Char"/>
    <w:link w:val="16"/>
    <w:qFormat/>
    <w:uiPriority w:val="0"/>
    <w:rPr>
      <w:rFonts w:ascii="宋体" w:hAnsi="宋体" w:eastAsia="宋体" w:cs="宋体"/>
      <w:sz w:val="20"/>
      <w:szCs w:val="20"/>
      <w:lang w:val="zh-TW" w:eastAsia="zh-TW" w:bidi="zh-TW"/>
    </w:rPr>
  </w:style>
  <w:style w:type="character" w:customStyle="1" w:styleId="18">
    <w:name w:val="页眉 Char"/>
    <w:basedOn w:val="12"/>
    <w:link w:val="9"/>
    <w:qFormat/>
    <w:uiPriority w:val="99"/>
    <w:rPr>
      <w:rFonts w:ascii="Calibri" w:hAnsi="Calibri" w:eastAsia="宋体" w:cs="Times New Roman"/>
      <w:sz w:val="18"/>
      <w:szCs w:val="18"/>
    </w:rPr>
  </w:style>
  <w:style w:type="character" w:customStyle="1" w:styleId="19">
    <w:name w:val="页脚 Char"/>
    <w:basedOn w:val="12"/>
    <w:link w:val="8"/>
    <w:qFormat/>
    <w:uiPriority w:val="99"/>
    <w:rPr>
      <w:rFonts w:ascii="Calibri" w:hAnsi="Calibri" w:eastAsia="宋体" w:cs="Times New Roman"/>
      <w:sz w:val="18"/>
      <w:szCs w:val="18"/>
    </w:rPr>
  </w:style>
  <w:style w:type="paragraph" w:styleId="20">
    <w:name w:val="List Paragraph"/>
    <w:basedOn w:val="1"/>
    <w:qFormat/>
    <w:uiPriority w:val="34"/>
    <w:pPr>
      <w:ind w:firstLine="420" w:firstLineChars="200"/>
    </w:pPr>
  </w:style>
  <w:style w:type="paragraph" w:customStyle="1" w:styleId="21">
    <w:name w:val="知识拓展内容"/>
    <w:basedOn w:val="1"/>
    <w:link w:val="22"/>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2">
    <w:name w:val="知识拓展内容 Char"/>
    <w:link w:val="21"/>
    <w:qFormat/>
    <w:uiPriority w:val="0"/>
    <w:rPr>
      <w:rFonts w:ascii="Times New Roman" w:hAnsi="Times New Roman" w:eastAsia="仿宋_GB2312" w:cs="Times New Roman"/>
      <w:kern w:val="10"/>
      <w:szCs w:val="21"/>
      <w:shd w:val="clear" w:color="auto" w:fill="FADCE9"/>
      <w:lang w:val="zh-CN" w:eastAsia="zh-CN"/>
    </w:rPr>
  </w:style>
  <w:style w:type="character" w:customStyle="1" w:styleId="23">
    <w:name w:val="标题 4 Char"/>
    <w:basedOn w:val="12"/>
    <w:link w:val="4"/>
    <w:qFormat/>
    <w:uiPriority w:val="0"/>
    <w:rPr>
      <w:rFonts w:ascii="Times New Roman" w:hAnsi="Times New Roman" w:eastAsia="方正宋黑_GBK" w:cs="Times New Roman"/>
      <w:color w:val="E4007F"/>
      <w:sz w:val="26"/>
      <w:szCs w:val="20"/>
    </w:rPr>
  </w:style>
  <w:style w:type="character" w:customStyle="1" w:styleId="24">
    <w:name w:val="字符样式 拼音字体"/>
    <w:qFormat/>
    <w:uiPriority w:val="0"/>
    <w:rPr>
      <w:rFonts w:ascii="PinYinok" w:hAnsi="PinYinok"/>
      <w:sz w:val="24"/>
      <w:szCs w:val="24"/>
    </w:rPr>
  </w:style>
  <w:style w:type="character" w:customStyle="1" w:styleId="25">
    <w:name w:val="标题 5 Char"/>
    <w:basedOn w:val="12"/>
    <w:link w:val="5"/>
    <w:semiHidden/>
    <w:qFormat/>
    <w:uiPriority w:val="9"/>
    <w:rPr>
      <w:rFonts w:ascii="Calibri" w:hAnsi="Calibri" w:eastAsia="宋体" w:cs="Times New Roman"/>
      <w:b/>
      <w:bCs/>
      <w:sz w:val="28"/>
      <w:szCs w:val="28"/>
    </w:rPr>
  </w:style>
  <w:style w:type="character" w:customStyle="1" w:styleId="26">
    <w:name w:val="标题 6 Char"/>
    <w:basedOn w:val="12"/>
    <w:link w:val="6"/>
    <w:semiHidden/>
    <w:qFormat/>
    <w:uiPriority w:val="9"/>
    <w:rPr>
      <w:rFonts w:asciiTheme="majorHAnsi" w:hAnsiTheme="majorHAnsi" w:eastAsiaTheme="majorEastAsia" w:cstheme="majorBidi"/>
      <w:b/>
      <w:bCs/>
      <w:sz w:val="24"/>
      <w:szCs w:val="24"/>
    </w:rPr>
  </w:style>
  <w:style w:type="paragraph" w:customStyle="1" w:styleId="27">
    <w:name w:val="图片"/>
    <w:basedOn w:val="1"/>
    <w:next w:val="7"/>
    <w:link w:val="29"/>
    <w:qFormat/>
    <w:uiPriority w:val="0"/>
    <w:pPr>
      <w:spacing w:before="120"/>
      <w:jc w:val="center"/>
    </w:pPr>
    <w:rPr>
      <w:rFonts w:ascii="Times New Roman" w:hAnsi="Times New Roman"/>
      <w:szCs w:val="20"/>
    </w:rPr>
  </w:style>
  <w:style w:type="character" w:customStyle="1" w:styleId="28">
    <w:name w:val="题注 Char"/>
    <w:link w:val="7"/>
    <w:qFormat/>
    <w:locked/>
    <w:uiPriority w:val="0"/>
    <w:rPr>
      <w:rFonts w:eastAsia="黑体" w:asciiTheme="majorHAnsi" w:hAnsiTheme="majorHAnsi" w:cstheme="majorBidi"/>
      <w:sz w:val="20"/>
      <w:szCs w:val="20"/>
    </w:rPr>
  </w:style>
  <w:style w:type="character" w:customStyle="1" w:styleId="29">
    <w:name w:val="图片 Char"/>
    <w:link w:val="27"/>
    <w:qFormat/>
    <w:locked/>
    <w:uiPriority w:val="0"/>
    <w:rPr>
      <w:rFonts w:ascii="Times New Roman" w:hAnsi="Times New Roman" w:eastAsia="宋体" w:cs="Times New Roman"/>
      <w:szCs w:val="20"/>
    </w:rPr>
  </w:style>
  <w:style w:type="character" w:customStyle="1" w:styleId="30">
    <w:name w:val="标题 3 Char"/>
    <w:basedOn w:val="12"/>
    <w:link w:val="3"/>
    <w:semiHidden/>
    <w:qFormat/>
    <w:uiPriority w:val="9"/>
    <w:rPr>
      <w:rFonts w:ascii="Calibri" w:hAnsi="Calibri" w:eastAsia="宋体" w:cs="Times New Roman"/>
      <w:b/>
      <w:bCs/>
      <w:sz w:val="32"/>
      <w:szCs w:val="32"/>
    </w:r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customXml" Target="../customXml/item1.xml"/><Relationship Id="rId6" Type="http://schemas.openxmlformats.org/officeDocument/2006/relationships/image" Target="media/image4.png"/><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16</Pages>
  <Words>10970</Words>
  <Characters>11125</Characters>
  <Lines>1</Lines>
  <Paragraphs>1</Paragraphs>
  <TotalTime>1</TotalTime>
  <ScaleCrop>false</ScaleCrop>
  <LinksUpToDate>false</LinksUpToDate>
  <CharactersWithSpaces>11193</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2021-06-08T10:03:00Z</dcterms:created>
  <dc:creator>DELL</dc:creator>
  <cp:lastModifiedBy>六月</cp:lastModifiedBy>
  <dcterms:modified xsi:type="dcterms:W3CDTF">2025-07-23T02:34:45Z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56B96C57AA6244718FD47203818E8D95_13</vt:lpwstr>
  </property>
  <property fmtid="{D5CDD505-2E9C-101B-9397-08002B2CF9AE}" pid="4" name="KSOTemplateDocerSaveRecord">
    <vt:lpwstr>eyJoZGlkIjoiOTcxZjc4Y2ViNTBlZDVmZTI3YTAxZGE1NWVmM2E2NDEiLCJ1c2VySWQiOiI0MDMzMDA2MzYifQ==</vt:lpwstr>
  </property>
</Properties>
</file>